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theme/theme1.xml" ContentType="application/vnd.openxmlformats-officedocument.them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body>
    <w:p>
      <w:r>
        <w:rPr>
          <w:rFonts w:hint="eastAsia"/>
        </w:rPr>
        <w:t>European Integ</w:t>
      </w:r>
      <w:r>
        <w:t>r</w:t>
      </w:r>
      <w:r>
        <w:rPr>
          <w:rFonts w:hint="eastAsia"/>
        </w:rPr>
        <w:t>ation</w:t>
      </w:r>
    </w:p>
    <w:p>
      <w:pPr>
        <w:jc w:val="center"/>
        <w:rPr>
          <w:sz w:val="28"/>
          <w:szCs w:val="28"/>
        </w:rPr>
      </w:pPr>
      <w:r>
        <w:rPr>
          <w:rFonts w:hint="eastAsia"/>
          <w:sz w:val="28"/>
          <w:szCs w:val="28"/>
        </w:rPr>
        <w:t>Syllabus</w:t>
      </w:r>
    </w:p>
    <w:p/>
    <w:p>
      <w:r>
        <w:rPr>
          <w:rFonts w:hint="eastAsia"/>
        </w:rPr>
        <w:t xml:space="preserve">Prof. </w:t>
      </w:r>
      <w:r>
        <w:rPr>
          <w:rFonts w:hint="eastAsia"/>
        </w:rPr>
        <w:t>JeongHun</w:t>
      </w:r>
      <w:r>
        <w:rPr>
          <w:rFonts w:hint="eastAsia"/>
        </w:rPr>
        <w:t xml:space="preserve"> Han</w:t>
      </w:r>
    </w:p>
    <w:p>
      <w:r>
        <w:t>Office: 140-1, 612 (T. 02-880-2296)</w:t>
      </w:r>
    </w:p>
    <w:p>
      <w:r>
        <w:t>E</w:t>
      </w:r>
      <w:r>
        <w:rPr>
          <w:rFonts w:hint="eastAsia"/>
        </w:rPr>
        <w:t>mail:</w:t>
      </w:r>
      <w:r>
        <w:t xml:space="preserve"> </w:t>
      </w:r>
      <w:r>
        <w:fldChar w:fldCharType="begin"/>
      </w:r>
      <w:r>
        <w:instrText xml:space="preserve"> HYPERLINK "mailto:gurus72@gmail.com" </w:instrText>
      </w:r>
      <w:r>
        <w:fldChar w:fldCharType="separate"/>
      </w:r>
      <w:r>
        <w:rPr>
          <w:rStyle w:val="a3"/>
        </w:rPr>
        <w:t>gurus72@gmail.com</w:t>
      </w:r>
      <w:r>
        <w:rPr>
          <w:rStyle w:val="a3"/>
        </w:rPr>
        <w:fldChar w:fldCharType="end"/>
      </w:r>
    </w:p>
    <w:p/>
    <w:p/>
    <w:p>
      <w:r>
        <w:t>&lt;</w:t>
      </w:r>
      <w:r>
        <w:t>Course Description</w:t>
      </w:r>
      <w:r>
        <w:t>&gt;</w:t>
      </w:r>
    </w:p>
    <w:p>
      <w:r>
        <w:t xml:space="preserve">This course aims to improve our understanding of European integration, particularly focusing on the policy making in EU. This course thus consists of three broad topics. First, </w:t>
      </w:r>
      <w:r>
        <w:rPr>
          <w:lang w:eastAsia="ko-KR"/>
          <w:rtl w:val="off"/>
        </w:rPr>
        <w:t xml:space="preserve">we improve our understanding of EU institutional development, particularly focusing on the situation after 2024 EP elections. </w:t>
      </w:r>
      <w:r>
        <w:t xml:space="preserve">Second, focusing on ordinary legislative procedure, we investigate the role of EU institutions in the process of decision-making. Third, focusing on </w:t>
      </w:r>
      <w:r>
        <w:rPr>
          <w:lang w:eastAsia="ko-KR"/>
          <w:rtl w:val="off"/>
        </w:rPr>
        <w:t xml:space="preserve">a </w:t>
      </w:r>
      <w:r>
        <w:t>specific public polic</w:t>
      </w:r>
      <w:r>
        <w:rPr>
          <w:lang w:eastAsia="ko-KR"/>
          <w:rtl w:val="off"/>
        </w:rPr>
        <w:t xml:space="preserve">y such as the EU </w:t>
      </w:r>
      <w:r>
        <w:t>C</w:t>
      </w:r>
      <w:r>
        <w:rPr>
          <w:lang w:eastAsia="ko-KR"/>
          <w:rtl w:val="off"/>
        </w:rPr>
        <w:t xml:space="preserve">arbon </w:t>
      </w:r>
      <w:r>
        <w:t>B</w:t>
      </w:r>
      <w:r>
        <w:rPr>
          <w:lang w:eastAsia="ko-KR"/>
          <w:rtl w:val="off"/>
        </w:rPr>
        <w:t xml:space="preserve">order </w:t>
      </w:r>
      <w:r>
        <w:t>A</w:t>
      </w:r>
      <w:r>
        <w:rPr>
          <w:lang w:eastAsia="ko-KR"/>
          <w:rtl w:val="off"/>
        </w:rPr>
        <w:t xml:space="preserve">djustment </w:t>
      </w:r>
      <w:r>
        <w:t>M</w:t>
      </w:r>
      <w:r>
        <w:rPr>
          <w:lang w:eastAsia="ko-KR"/>
          <w:rtl w:val="off"/>
        </w:rPr>
        <w:t>echanism</w:t>
      </w:r>
      <w:r>
        <w:t xml:space="preserve"> regulations, we try to understand how EU works from the empirical perspective. After taking this course, students are expected to improve their understanding of </w:t>
      </w:r>
      <w:r>
        <w:t xml:space="preserve">the level of EU integration and </w:t>
      </w:r>
      <w:r>
        <w:t>actual policy making procedures in EU.</w:t>
      </w:r>
    </w:p>
    <w:p/>
    <w:p>
      <w:r>
        <w:t>&lt;</w:t>
      </w:r>
      <w:r>
        <w:t>Grade</w:t>
      </w:r>
      <w:r>
        <w:t>&gt;</w:t>
      </w:r>
    </w:p>
    <w:p>
      <w:r>
        <w:t>Attendance (10%), Assignment (10%), Class Presentation (20%), Q&amp;</w:t>
      </w:r>
      <w:r>
        <w:t>A(</w:t>
      </w:r>
      <w:r>
        <w:t>20%), Midterm (20%), Final paper (20%)</w:t>
      </w:r>
    </w:p>
    <w:p>
      <w:r>
        <w:t xml:space="preserve">“Assignment” is to check whether students prepare the class by reading all assigned materials. </w:t>
      </w:r>
    </w:p>
    <w:p>
      <w:r>
        <w:t xml:space="preserve">“Class presentation” concerns the presentation made in the class. A student needs to present at least once during the course. Presentation materials should consist of 1) summary of the assigned material, 2) your finding of author’s main argument, 3) your finding of author’s main methodological strategy, 4) your evaluation on author’s argument and the choice of methodological strategy. </w:t>
      </w:r>
    </w:p>
    <w:p>
      <w:r>
        <w:t xml:space="preserve">“Q&amp;A” checks your class participation. How many times and how important questions you raise in the class and how correctly answer to my questions will be evaluated. </w:t>
      </w:r>
    </w:p>
    <w:p>
      <w:r>
        <w:t xml:space="preserve">“Midterm” </w:t>
      </w:r>
      <w:r>
        <w:t>concerns the evaluation on your understanding of the assigned materials. From the materials assigned for each week, I w</w:t>
      </w:r>
      <w:r>
        <w:rPr>
          <w:rFonts w:hint="eastAsia"/>
        </w:rPr>
        <w:t xml:space="preserve">ill </w:t>
      </w:r>
      <w:r>
        <w:t xml:space="preserve">develop two questions after the first week of this course. </w:t>
      </w:r>
    </w:p>
    <w:p>
      <w:r>
        <w:t xml:space="preserve">“Final paper” concerns the evaluation on your performance of analyzing voting records in the EP. In the third part of this course, we will cover the actual process and contents of at least one EU regulation. In particular, I will provide a data set concerning MEPs’ voting records on the amendments of the proposed regulation. You need to apply a statistical model analyzing a binary dependent variable and provide the whole process and outcomes of your analysis as a final paper. </w:t>
      </w:r>
    </w:p>
    <w:p>
      <w:pPr>
        <w:rPr>
          <w:lang w:eastAsia="ko-KR"/>
          <w:rFonts w:hint="eastAsia"/>
          <w:rtl w:val="off"/>
        </w:rPr>
      </w:pPr>
    </w:p>
    <w:p>
      <w:pPr>
        <w:rPr>
          <w:lang w:eastAsia="ko-KR"/>
          <w:rFonts w:hint="eastAsia"/>
          <w:rtl w:val="off"/>
        </w:rPr>
      </w:pPr>
      <w:r>
        <w:rPr>
          <w:lang w:eastAsia="ko-KR"/>
          <w:rtl w:val="off"/>
        </w:rPr>
        <w:t>&lt;Main Text&gt;</w:t>
      </w:r>
    </w:p>
    <w:p>
      <w:pPr>
        <w:rPr>
          <w:lang w:eastAsia="ko-KR"/>
          <w:rFonts w:hint="eastAsia"/>
          <w:rtl w:val="off"/>
        </w:rPr>
      </w:pPr>
      <w:r>
        <w:rPr>
          <w:lang w:eastAsia="ko-KR"/>
          <w:rtl w:val="off"/>
        </w:rPr>
        <w:t xml:space="preserve">Lelieveldt, Herman and Sebastiaan Princen. 2023. The Politics of European Union. Cambridge University Press. </w:t>
      </w:r>
    </w:p>
    <w:p>
      <w:pPr>
        <w:rPr>
          <w:lang w:eastAsia="ko-KR"/>
          <w:rFonts w:hint="eastAsia"/>
          <w:rtl w:val="off"/>
        </w:rPr>
      </w:pPr>
      <w:r>
        <w:rPr>
          <w:lang w:eastAsia="ko-KR"/>
          <w:rtl w:val="off"/>
        </w:rPr>
        <w:t xml:space="preserve">König, Thomas. 2024. The Dynamics of European Integration. University of Michigan Press. </w:t>
      </w:r>
    </w:p>
    <w:p/>
    <w:p>
      <w:pPr>
        <w:rPr>
          <w:b/>
        </w:rPr>
      </w:pPr>
      <w:r>
        <w:rPr>
          <w:rFonts w:hint="eastAsia"/>
          <w:b/>
        </w:rPr>
        <w:t>&lt;Weekly Schedule&gt;</w:t>
      </w:r>
    </w:p>
    <w:p/>
    <w:p>
      <w:pPr>
        <w:rPr>
          <w:b/>
        </w:rPr>
      </w:pPr>
      <w:r>
        <w:rPr>
          <w:b/>
        </w:rPr>
        <w:t>Week 1(</w:t>
      </w:r>
      <w:r>
        <w:rPr>
          <w:lang w:eastAsia="ko-KR"/>
          <w:b/>
          <w:rtl w:val="off"/>
        </w:rPr>
        <w:t>March 04</w:t>
      </w:r>
      <w:r>
        <w:rPr>
          <w:b/>
        </w:rPr>
        <w:t>) Course Introduction</w:t>
      </w:r>
    </w:p>
    <w:p>
      <w:pPr>
        <w:ind w:leftChars="0"/>
      </w:pPr>
      <w:r>
        <w:rPr>
          <w:lang w:eastAsia="ko-KR"/>
          <w:rtl w:val="off"/>
        </w:rPr>
        <w:t xml:space="preserve">1) </w:t>
      </w:r>
      <w:r>
        <w:t>Class Note: Basic Introduction</w:t>
      </w:r>
    </w:p>
    <w:p/>
    <w:p>
      <w:pPr>
        <w:rPr>
          <w:b/>
        </w:rPr>
      </w:pPr>
      <w:r>
        <w:rPr>
          <w:b/>
        </w:rPr>
        <w:t>Week 2 (</w:t>
      </w:r>
      <w:r>
        <w:rPr>
          <w:lang w:eastAsia="ko-KR"/>
          <w:b/>
          <w:rtl w:val="off"/>
        </w:rPr>
        <w:t>March 11</w:t>
      </w:r>
      <w:r>
        <w:rPr>
          <w:b/>
        </w:rPr>
        <w:t xml:space="preserve">). </w:t>
      </w:r>
      <w:r>
        <w:rPr>
          <w:lang w:eastAsia="ko-KR"/>
          <w:b/>
          <w:rtl w:val="off"/>
        </w:rPr>
        <w:t>History of EU Integration</w:t>
      </w:r>
    </w:p>
    <w:p>
      <w:r>
        <w:rPr>
          <w:rFonts w:hint="eastAsia"/>
        </w:rPr>
        <w:t>1</w:t>
      </w:r>
      <w:r>
        <w:t xml:space="preserve">) </w:t>
      </w:r>
      <w:r>
        <w:rPr>
          <w:lang w:eastAsia="ko-KR"/>
          <w:rtl w:val="off"/>
        </w:rPr>
        <w:t xml:space="preserve">Lelieveldt &amp; Princen. 2023. </w:t>
      </w:r>
      <w:r>
        <w:t>Chapter1</w:t>
      </w:r>
      <w:r>
        <w:rPr>
          <w:lang w:eastAsia="ko-KR"/>
          <w:rtl w:val="off"/>
        </w:rPr>
        <w:t>(3-27)</w:t>
      </w:r>
    </w:p>
    <w:p>
      <w:pPr>
        <w:rPr>
          <w:lang w:eastAsia="ko-KR"/>
          <w:rFonts w:hint="eastAsia"/>
          <w:rtl w:val="off"/>
        </w:rPr>
      </w:pPr>
      <w:r>
        <w:rPr>
          <w:lang w:eastAsia="ko-KR"/>
          <w:rtl w:val="off"/>
        </w:rPr>
        <w:t>2) König, Thomas. 2024. Chapter1(5-16), Chapter 2(19-32)</w:t>
      </w:r>
    </w:p>
    <w:p/>
    <w:p>
      <w:pPr>
        <w:rPr>
          <w:lang w:eastAsia="ko-KR"/>
          <w:rFonts w:hint="eastAsia"/>
          <w:b/>
          <w:rtl w:val="off"/>
        </w:rPr>
      </w:pPr>
      <w:r>
        <w:rPr>
          <w:b/>
        </w:rPr>
        <w:t>Week 3 (</w:t>
      </w:r>
      <w:r>
        <w:rPr>
          <w:lang w:eastAsia="ko-KR"/>
          <w:b/>
          <w:rtl w:val="off"/>
        </w:rPr>
        <w:t>March 18</w:t>
      </w:r>
      <w:r>
        <w:rPr>
          <w:b/>
        </w:rPr>
        <w:t xml:space="preserve">) </w:t>
      </w:r>
      <w:r>
        <w:rPr>
          <w:lang w:eastAsia="ko-KR"/>
          <w:b/>
          <w:rtl w:val="off"/>
        </w:rPr>
        <w:t>EU Institutions</w:t>
      </w:r>
    </w:p>
    <w:p>
      <w:pPr>
        <w:rPr>
          <w:b w:val="0"/>
          <w:bCs w:val="0"/>
        </w:rPr>
      </w:pPr>
      <w:r>
        <w:rPr>
          <w:lang w:eastAsia="ko-KR"/>
          <w:b w:val="0"/>
          <w:bCs w:val="0"/>
          <w:rtl w:val="off"/>
        </w:rPr>
        <w:t xml:space="preserve">1) </w:t>
      </w:r>
      <w:r>
        <w:rPr>
          <w:lang w:eastAsia="ko-KR"/>
          <w:b w:val="0"/>
          <w:bCs w:val="0"/>
          <w:rtl w:val="off"/>
        </w:rPr>
        <w:t xml:space="preserve">Lelieveldt &amp; Princen. 2023. </w:t>
      </w:r>
      <w:r>
        <w:rPr>
          <w:b w:val="0"/>
          <w:bCs w:val="0"/>
        </w:rPr>
        <w:t>Chapter</w:t>
      </w:r>
      <w:r>
        <w:rPr>
          <w:lang w:eastAsia="ko-KR"/>
          <w:b w:val="0"/>
          <w:bCs w:val="0"/>
          <w:rtl w:val="off"/>
        </w:rPr>
        <w:t>3(46-73)</w:t>
      </w:r>
    </w:p>
    <w:p>
      <w:r>
        <w:rPr>
          <w:lang w:eastAsia="ko-KR"/>
          <w:rFonts w:hint="eastAsia"/>
          <w:b w:val="0"/>
          <w:bCs w:val="0"/>
          <w:rtl w:val="off"/>
        </w:rPr>
        <w:t xml:space="preserve">2) </w:t>
      </w:r>
      <w:r>
        <w:rPr>
          <w:lang w:eastAsia="ko-KR"/>
          <w:b w:val="0"/>
          <w:bCs w:val="0"/>
          <w:rtl w:val="off"/>
        </w:rPr>
        <w:t xml:space="preserve">Brack, Nathalie. 2015. “The Roles of Eurosceptic Members of the EP and their Implication for </w:t>
      </w:r>
      <w:r>
        <w:rPr>
          <w:lang w:eastAsia="ko-KR"/>
          <w:rtl w:val="off"/>
        </w:rPr>
        <w:t xml:space="preserve">the EU” International Political Sceince Review 36(3):337-350. </w:t>
      </w:r>
    </w:p>
    <w:p>
      <w:pPr>
        <w:rPr>
          <w:lang w:eastAsia="ko-KR"/>
          <w:rFonts w:hint="eastAsia"/>
          <w:b/>
          <w:rtl w:val="off"/>
        </w:rPr>
      </w:pPr>
    </w:p>
    <w:p/>
    <w:p>
      <w:pPr/>
      <w:r>
        <w:rPr>
          <w:b/>
        </w:rPr>
        <w:t>Week 4 (</w:t>
      </w:r>
      <w:r>
        <w:rPr>
          <w:lang w:eastAsia="ko-KR"/>
          <w:b/>
          <w:rtl w:val="off"/>
        </w:rPr>
        <w:t>March 25</w:t>
      </w:r>
      <w:r>
        <w:rPr>
          <w:b/>
        </w:rPr>
        <w:t xml:space="preserve">) </w:t>
      </w:r>
      <w:r>
        <w:rPr>
          <w:b/>
        </w:rPr>
        <w:t xml:space="preserve">EU </w:t>
      </w:r>
      <w:r>
        <w:rPr>
          <w:lang w:eastAsia="ko-KR"/>
          <w:b/>
          <w:rtl w:val="off"/>
        </w:rPr>
        <w:t>Legislation</w:t>
      </w:r>
    </w:p>
    <w:p>
      <w:r>
        <w:t xml:space="preserve">1) </w:t>
      </w:r>
      <w:r>
        <w:rPr>
          <w:lang w:eastAsia="ko-KR"/>
          <w:rtl w:val="off"/>
        </w:rPr>
        <w:t xml:space="preserve">Lelieveldt &amp; Princen. 2023. </w:t>
      </w:r>
      <w:r>
        <w:t>Chapter</w:t>
      </w:r>
      <w:r>
        <w:rPr>
          <w:lang w:eastAsia="ko-KR"/>
          <w:rtl w:val="off"/>
        </w:rPr>
        <w:t>4(73-102)</w:t>
      </w:r>
    </w:p>
    <w:p>
      <w:pPr>
        <w:rPr>
          <w:highlight w:val="yellow"/>
        </w:rPr>
      </w:pPr>
      <w:r>
        <w:t xml:space="preserve">2) </w:t>
      </w:r>
      <w:r>
        <w:t>Gabral</w:t>
      </w:r>
      <w:r>
        <w:t>, T. S. 2020. “A Short Guide to the Legislative Procedure in the European Union,” UNIO-EU Law Journal 6:161-180</w:t>
      </w:r>
      <w:r>
        <w:rPr>
          <w:lang w:eastAsia="ko-KR"/>
          <w:rtl w:val="off"/>
        </w:rPr>
        <w:t xml:space="preserve"> </w:t>
      </w:r>
    </w:p>
    <w:p>
      <w:pPr>
        <w:rPr>
          <w:lang w:eastAsia="ko-KR"/>
          <w:rFonts w:hint="eastAsia"/>
          <w:rtl w:val="off"/>
        </w:rPr>
      </w:pPr>
      <w:r>
        <w:rPr>
          <w:lang w:eastAsia="ko-KR"/>
          <w:rtl w:val="off"/>
        </w:rPr>
        <w:t>3</w:t>
      </w:r>
      <w:r>
        <w:t xml:space="preserve">) </w:t>
      </w:r>
      <w:r>
        <w:rPr>
          <w:lang w:eastAsia="ko-KR"/>
          <w:rtl w:val="off"/>
        </w:rPr>
        <w:t>Inter</w:t>
      </w:r>
      <w:r>
        <w:t xml:space="preserve">Institutional Agreement on Better Law-making of 13 April 2016. (original </w:t>
      </w:r>
      <w:r>
        <w:t xml:space="preserve">agreement on 2003): </w:t>
      </w:r>
      <w:r>
        <w:fldChar w:fldCharType="begin"/>
      </w:r>
      <w:r>
        <w:instrText xml:space="preserve"> HYPERLINK "https://www.consilium.europa.eu/en/policies/better-regulation/" </w:instrText>
      </w:r>
      <w:r>
        <w:fldChar w:fldCharType="separate"/>
      </w:r>
      <w:r>
        <w:rPr>
          <w:rStyle w:val="a3"/>
          <w:rFonts w:ascii="맑은 고딕" w:eastAsia="맑은 고딕" w:hAnsi="맑은 고딕" w:cs="Arial"/>
        </w:rPr>
        <w:t>https://www.consilium.europa.eu/en/policies/better-regulation/</w:t>
      </w:r>
      <w:r>
        <w:fldChar w:fldCharType="end"/>
      </w:r>
      <w:r>
        <w:rPr>
          <w:lang w:eastAsia="ko-KR"/>
          <w:rtl w:val="off"/>
        </w:rPr>
        <w:t xml:space="preserve"> </w:t>
      </w:r>
    </w:p>
    <w:p>
      <w:pPr>
        <w:rPr>
          <w:lang w:eastAsia="ko-KR"/>
          <w:rFonts w:hint="eastAsia"/>
          <w:rtl w:val="off"/>
        </w:rPr>
      </w:pPr>
    </w:p>
    <w:p>
      <w:pPr>
        <w:rPr>
          <w:lang w:eastAsia="ko-KR"/>
          <w:rFonts w:hint="eastAsia"/>
          <w:b/>
          <w:rtl w:val="off"/>
        </w:rPr>
      </w:pPr>
      <w:r>
        <w:rPr>
          <w:b/>
        </w:rPr>
        <w:t>Week 5 (</w:t>
      </w:r>
      <w:r>
        <w:rPr>
          <w:lang w:eastAsia="ko-KR"/>
          <w:b/>
          <w:rtl w:val="off"/>
        </w:rPr>
        <w:t>April 01</w:t>
      </w:r>
      <w:r>
        <w:rPr>
          <w:b/>
        </w:rPr>
        <w:t>):</w:t>
      </w:r>
      <w:r>
        <w:rPr>
          <w:b/>
        </w:rPr>
        <w:t xml:space="preserve"> </w:t>
      </w:r>
      <w:r>
        <w:rPr>
          <w:lang w:eastAsia="ko-KR"/>
          <w:b/>
          <w:rtl w:val="off"/>
        </w:rPr>
        <w:t>EU Political parties and the European Parliament</w:t>
      </w:r>
    </w:p>
    <w:p>
      <w:pPr>
        <w:rPr>
          <w:b w:val="0"/>
          <w:bCs w:val="0"/>
        </w:rPr>
      </w:pPr>
      <w:r>
        <w:rPr>
          <w:lang w:eastAsia="ko-KR"/>
          <w:b w:val="0"/>
          <w:bCs w:val="0"/>
          <w:rtl w:val="off"/>
        </w:rPr>
        <w:t xml:space="preserve">1) </w:t>
      </w:r>
      <w:r>
        <w:rPr>
          <w:lang w:eastAsia="ko-KR"/>
          <w:b w:val="0"/>
          <w:bCs w:val="0"/>
          <w:rtl w:val="off"/>
        </w:rPr>
        <w:t xml:space="preserve">Lelieveldt &amp; Princen. 2023. </w:t>
      </w:r>
      <w:r>
        <w:rPr>
          <w:b w:val="0"/>
          <w:bCs w:val="0"/>
        </w:rPr>
        <w:t>Chapte</w:t>
      </w:r>
      <w:r>
        <w:rPr>
          <w:lang w:eastAsia="ko-KR"/>
          <w:b w:val="0"/>
          <w:bCs w:val="0"/>
          <w:rtl w:val="off"/>
        </w:rPr>
        <w:t>r7(141-166)</w:t>
      </w:r>
    </w:p>
    <w:p>
      <w:pPr>
        <w:rPr>
          <w:lang w:eastAsia="ko-KR"/>
          <w:rFonts w:hint="eastAsia"/>
          <w:b w:val="0"/>
          <w:bCs w:val="0"/>
          <w:rtl w:val="off"/>
        </w:rPr>
      </w:pPr>
      <w:r>
        <w:rPr>
          <w:lang w:eastAsia="ko-KR"/>
          <w:b w:val="0"/>
          <w:bCs w:val="0"/>
          <w:rtl w:val="off"/>
        </w:rPr>
        <w:t xml:space="preserve">2) </w:t>
      </w:r>
      <w:r>
        <w:rPr>
          <w:lang w:eastAsia="ko-KR"/>
          <w:b w:val="0"/>
          <w:bCs w:val="0"/>
          <w:rtl w:val="off"/>
        </w:rPr>
        <w:t>König, Thomas. 2024. Chapter7(122-147), Chapter 8 (148-177)</w:t>
      </w:r>
    </w:p>
    <w:p>
      <w:pPr>
        <w:rPr>
          <w:b/>
        </w:rPr>
      </w:pPr>
    </w:p>
    <w:p>
      <w:pPr>
        <w:rPr>
          <w:b/>
        </w:rPr>
      </w:pPr>
      <w:r>
        <w:rPr>
          <w:b/>
        </w:rPr>
        <w:t>Week 6 (</w:t>
      </w:r>
      <w:r>
        <w:rPr>
          <w:lang w:eastAsia="ko-KR"/>
          <w:b/>
          <w:rtl w:val="off"/>
        </w:rPr>
        <w:t>April</w:t>
      </w:r>
      <w:r>
        <w:rPr>
          <w:b/>
        </w:rPr>
        <w:t xml:space="preserve"> 08): </w:t>
      </w:r>
      <w:r>
        <w:rPr>
          <w:b/>
        </w:rPr>
        <w:t>EU decision-making</w:t>
      </w:r>
    </w:p>
    <w:p>
      <w:pPr>
        <w:rPr>
          <w:b w:val="0"/>
          <w:bCs w:val="0"/>
        </w:rPr>
      </w:pPr>
      <w:r>
        <w:rPr>
          <w:lang w:eastAsia="ko-KR"/>
          <w:b w:val="0"/>
          <w:bCs w:val="0"/>
          <w:rtl w:val="off"/>
        </w:rPr>
        <w:t xml:space="preserve">1) </w:t>
      </w:r>
      <w:r>
        <w:rPr>
          <w:lang w:eastAsia="ko-KR"/>
          <w:b w:val="0"/>
          <w:bCs w:val="0"/>
          <w:rtl w:val="off"/>
        </w:rPr>
        <w:t xml:space="preserve">Lelieveldt &amp; Princen. 2023. </w:t>
      </w:r>
      <w:r>
        <w:rPr>
          <w:b w:val="0"/>
          <w:bCs w:val="0"/>
        </w:rPr>
        <w:t>Chapte</w:t>
      </w:r>
      <w:r>
        <w:rPr>
          <w:lang w:eastAsia="ko-KR"/>
          <w:b w:val="0"/>
          <w:bCs w:val="0"/>
          <w:rtl w:val="off"/>
        </w:rPr>
        <w:t>r10(215-237)</w:t>
      </w:r>
    </w:p>
    <w:p>
      <w:pPr>
        <w:rPr>
          <w:lang w:eastAsia="ko-KR"/>
          <w:rFonts w:hint="eastAsia"/>
          <w:rtl w:val="off"/>
        </w:rPr>
      </w:pPr>
      <w:r>
        <w:rPr>
          <w:lang w:eastAsia="ko-KR"/>
          <w:rFonts w:hint="eastAsia"/>
          <w:rtl w:val="off"/>
        </w:rPr>
        <w:t xml:space="preserve">2) </w:t>
      </w:r>
      <w:r>
        <w:t>Hurka</w:t>
      </w:r>
      <w:r>
        <w:t xml:space="preserve">, S. and M. </w:t>
      </w:r>
      <w:r>
        <w:t>Haaag</w:t>
      </w:r>
      <w:r>
        <w:t>. 2020. “Policy Complexity and Legislative Duration in the European Union,” European Union Politics 21(1):87-108</w:t>
      </w:r>
      <w:r>
        <w:rPr>
          <w:lang w:eastAsia="ko-KR"/>
          <w:rtl w:val="off"/>
        </w:rPr>
        <w:t xml:space="preserve"> </w:t>
      </w:r>
    </w:p>
    <w:p>
      <w:pPr>
        <w:rPr>
          <w:lang w:eastAsia="ko-KR"/>
          <w:rFonts w:hint="eastAsia"/>
          <w:rtl w:val="off"/>
        </w:rPr>
      </w:pPr>
    </w:p>
    <w:p>
      <w:pPr>
        <w:rPr>
          <w:lang w:eastAsia="ko-KR"/>
          <w:rFonts w:hint="eastAsia"/>
          <w:b/>
          <w:rtl w:val="off"/>
        </w:rPr>
      </w:pPr>
      <w:r>
        <w:rPr>
          <w:b/>
        </w:rPr>
        <w:t>Week 7 (</w:t>
      </w:r>
      <w:r>
        <w:rPr>
          <w:lang w:eastAsia="ko-KR"/>
          <w:b/>
          <w:rtl w:val="off"/>
        </w:rPr>
        <w:t>April</w:t>
      </w:r>
      <w:r>
        <w:rPr>
          <w:b/>
        </w:rPr>
        <w:t xml:space="preserve"> 15): </w:t>
      </w:r>
      <w:r>
        <w:rPr>
          <w:lang w:eastAsia="ko-KR"/>
          <w:b/>
          <w:rtl w:val="off"/>
        </w:rPr>
        <w:t>EU as a political system</w:t>
      </w:r>
    </w:p>
    <w:p>
      <w:pPr>
        <w:rPr>
          <w:b w:val="0"/>
          <w:bCs w:val="0"/>
        </w:rPr>
      </w:pPr>
      <w:r>
        <w:rPr>
          <w:lang w:eastAsia="ko-KR"/>
          <w:b w:val="0"/>
          <w:bCs w:val="0"/>
          <w:rtl w:val="off"/>
        </w:rPr>
        <w:t xml:space="preserve">1) </w:t>
      </w:r>
      <w:r>
        <w:rPr>
          <w:lang w:eastAsia="ko-KR"/>
          <w:b w:val="0"/>
          <w:bCs w:val="0"/>
          <w:rtl w:val="off"/>
        </w:rPr>
        <w:t xml:space="preserve">Lelieveldt &amp; Princen. 2023. </w:t>
      </w:r>
      <w:r>
        <w:rPr>
          <w:b w:val="0"/>
          <w:bCs w:val="0"/>
        </w:rPr>
        <w:t>Chapte</w:t>
      </w:r>
      <w:r>
        <w:rPr>
          <w:lang w:eastAsia="ko-KR"/>
          <w:b w:val="0"/>
          <w:bCs w:val="0"/>
          <w:rtl w:val="off"/>
        </w:rPr>
        <w:t>r12(261-278)</w:t>
      </w:r>
    </w:p>
    <w:p>
      <w:pPr>
        <w:rPr>
          <w:lang w:eastAsia="ko-KR"/>
          <w:rFonts w:hint="eastAsia"/>
          <w:b w:val="0"/>
          <w:bCs w:val="0"/>
          <w:rtl w:val="off"/>
        </w:rPr>
      </w:pPr>
      <w:r>
        <w:rPr>
          <w:lang w:eastAsia="ko-KR"/>
          <w:b w:val="0"/>
          <w:bCs w:val="0"/>
          <w:rtl w:val="off"/>
        </w:rPr>
        <w:t xml:space="preserve">2) Wilson, Traci L., and Sara B. Hobolt. 2015. “Allocating Responsibility in Multilevel Government Systems: Voter and Expert Attributions in the European Union” Journal of Politics 7791):102-113. </w:t>
      </w:r>
    </w:p>
    <w:p>
      <w:pPr>
        <w:rPr>
          <w:b/>
        </w:rPr>
      </w:pPr>
    </w:p>
    <w:p>
      <w:pPr>
        <w:rPr>
          <w:lang w:eastAsia="ko-KR"/>
          <w:rFonts w:hint="eastAsia"/>
          <w:b/>
          <w:rtl w:val="off"/>
        </w:rPr>
      </w:pPr>
      <w:r>
        <w:rPr>
          <w:b/>
        </w:rPr>
        <w:t>Week 8 (</w:t>
      </w:r>
      <w:r>
        <w:rPr>
          <w:lang w:eastAsia="ko-KR"/>
          <w:b/>
          <w:rtl w:val="off"/>
        </w:rPr>
        <w:t>April</w:t>
      </w:r>
      <w:r>
        <w:rPr>
          <w:b/>
        </w:rPr>
        <w:t xml:space="preserve"> 22): </w:t>
      </w:r>
      <w:r>
        <w:rPr>
          <w:lang w:eastAsia="ko-KR"/>
          <w:b/>
          <w:rtl w:val="off"/>
        </w:rPr>
        <w:t>Midterm Exam</w:t>
      </w:r>
    </w:p>
    <w:p>
      <w:pPr>
        <w:rPr>
          <w:lang w:eastAsia="ko-KR"/>
          <w:rFonts w:hint="eastAsia"/>
          <w:b/>
          <w:rtl w:val="off"/>
        </w:rPr>
      </w:pPr>
    </w:p>
    <w:p>
      <w:pPr>
        <w:rPr>
          <w:b/>
        </w:rPr>
      </w:pPr>
      <w:r>
        <w:rPr>
          <w:b/>
        </w:rPr>
        <w:t>Week 9 (</w:t>
      </w:r>
      <w:r>
        <w:rPr>
          <w:lang w:eastAsia="ko-KR"/>
          <w:b/>
          <w:rtl w:val="off"/>
        </w:rPr>
        <w:t>April</w:t>
      </w:r>
      <w:r>
        <w:rPr>
          <w:b/>
        </w:rPr>
        <w:t xml:space="preserve"> 29):</w:t>
      </w:r>
      <w:r>
        <w:rPr>
          <w:lang w:eastAsia="ko-KR"/>
          <w:b/>
          <w:rtl w:val="off"/>
        </w:rPr>
        <w:t xml:space="preserve"> Case Study: </w:t>
      </w:r>
      <w:r>
        <w:rPr>
          <w:b/>
        </w:rPr>
        <w:t>CBAM</w:t>
      </w:r>
      <w:r>
        <w:rPr>
          <w:lang w:eastAsia="ko-KR"/>
          <w:b/>
          <w:rtl w:val="off"/>
        </w:rPr>
        <w:t xml:space="preserve"> Regulation (</w:t>
      </w:r>
      <w:r>
        <w:rPr>
          <w:b/>
        </w:rPr>
        <w:t>Special Lecture by Kang Na-</w:t>
      </w:r>
      <w:r>
        <w:rPr>
          <w:b/>
        </w:rPr>
        <w:t>kyung</w:t>
      </w:r>
      <w:r>
        <w:rPr>
          <w:lang w:eastAsia="ko-KR"/>
          <w:b/>
          <w:rtl w:val="off"/>
        </w:rPr>
        <w:t>)</w:t>
      </w:r>
    </w:p>
    <w:p>
      <w:pPr>
        <w:rPr>
          <w:lang w:eastAsia="ko-KR"/>
          <w:rFonts w:hint="eastAsia"/>
          <w:b w:val="0"/>
          <w:rtl w:val="off"/>
        </w:rPr>
      </w:pPr>
      <w:r>
        <w:rPr>
          <w:lang w:eastAsia="ko-KR"/>
          <w:rFonts w:hint="eastAsia"/>
          <w:b w:val="0"/>
          <w:rtl w:val="off"/>
        </w:rPr>
        <w:t xml:space="preserve">1) Commission Proposal </w:t>
      </w:r>
    </w:p>
    <w:p>
      <w:pPr>
        <w:rPr>
          <w:lang w:eastAsia="ko-KR"/>
          <w:rFonts w:hint="eastAsia"/>
          <w:b w:val="0"/>
          <w:rtl w:val="off"/>
        </w:rPr>
      </w:pPr>
      <w:r>
        <w:rPr>
          <w:lang w:eastAsia="ko-KR"/>
          <w:rFonts w:hint="eastAsia"/>
          <w:b w:val="0"/>
          <w:rtl w:val="off"/>
        </w:rPr>
        <w:t>2) Final Regulation</w:t>
      </w:r>
    </w:p>
    <w:p>
      <w:pPr>
        <w:rPr>
          <w:lang w:eastAsia="ko-KR"/>
          <w:rFonts w:hint="eastAsia"/>
          <w:b w:val="0"/>
          <w:rtl w:val="off"/>
        </w:rPr>
      </w:pPr>
      <w:r>
        <w:rPr>
          <w:lang w:eastAsia="ko-KR"/>
          <w:rFonts w:hint="eastAsia"/>
          <w:b w:val="0"/>
          <w:rtl w:val="off"/>
        </w:rPr>
        <w:t>3) Comparison of contents between proposals and final regulation</w:t>
      </w:r>
    </w:p>
    <w:p>
      <w:pPr>
        <w:rPr>
          <w:lang w:eastAsia="ko-KR"/>
          <w:rFonts w:hint="eastAsia"/>
          <w:b w:val="0"/>
          <w:rtl w:val="off"/>
        </w:rPr>
      </w:pPr>
      <w:r>
        <w:rPr>
          <w:lang w:eastAsia="ko-KR"/>
          <w:rFonts w:hint="eastAsia"/>
          <w:b w:val="0"/>
          <w:rtl w:val="off"/>
        </w:rPr>
        <w:t xml:space="preserve">4) Content Analysis of the proposal, regulation by Na-Kyung Kang. </w:t>
      </w:r>
    </w:p>
    <w:p>
      <w:pPr>
        <w:rPr>
          <w:lang w:eastAsia="ko-KR"/>
          <w:rFonts w:hint="eastAsia"/>
          <w:b/>
          <w:rtl w:val="off"/>
        </w:rPr>
      </w:pPr>
    </w:p>
    <w:p>
      <w:pPr>
        <w:rPr>
          <w:b/>
        </w:rPr>
      </w:pPr>
      <w:r>
        <w:rPr>
          <w:b/>
        </w:rPr>
        <w:t>Week 10 (</w:t>
      </w:r>
      <w:r>
        <w:rPr>
          <w:lang w:eastAsia="ko-KR"/>
          <w:b/>
          <w:rtl w:val="off"/>
        </w:rPr>
        <w:t>May</w:t>
      </w:r>
      <w:r>
        <w:rPr>
          <w:b/>
        </w:rPr>
        <w:t xml:space="preserve"> 0</w:t>
      </w:r>
      <w:r>
        <w:rPr>
          <w:lang w:eastAsia="ko-KR"/>
          <w:b/>
          <w:rtl w:val="off"/>
        </w:rPr>
        <w:t>6)</w:t>
      </w:r>
      <w:r>
        <w:rPr>
          <w:b/>
        </w:rPr>
        <w:t xml:space="preserve"> </w:t>
      </w:r>
      <w:r>
        <w:rPr>
          <w:lang w:eastAsia="ko-KR"/>
          <w:b/>
          <w:rtl w:val="off"/>
        </w:rPr>
        <w:t>National Holiday (No Class)</w:t>
      </w:r>
    </w:p>
    <w:p>
      <w:pPr>
        <w:rPr>
          <w:lang w:eastAsia="ko-KR"/>
          <w:rFonts w:hint="eastAsia"/>
          <w:b/>
          <w:rtl w:val="off"/>
        </w:rPr>
      </w:pPr>
    </w:p>
    <w:p>
      <w:pPr>
        <w:rPr>
          <w:b/>
        </w:rPr>
      </w:pPr>
      <w:r>
        <w:rPr>
          <w:b/>
        </w:rPr>
        <w:t>Week 11 (</w:t>
      </w:r>
      <w:r>
        <w:rPr>
          <w:lang w:eastAsia="ko-KR"/>
          <w:b/>
          <w:rtl w:val="off"/>
        </w:rPr>
        <w:t xml:space="preserve">May 13) Case Study: </w:t>
      </w:r>
      <w:r>
        <w:rPr>
          <w:b/>
        </w:rPr>
        <w:t>CBAM</w:t>
      </w:r>
      <w:r>
        <w:rPr>
          <w:lang w:eastAsia="ko-KR"/>
          <w:b/>
          <w:rtl w:val="off"/>
        </w:rPr>
        <w:t xml:space="preserve"> Regulation (</w:t>
      </w:r>
      <w:r>
        <w:rPr>
          <w:b/>
        </w:rPr>
        <w:t>Special Lecture by Kang Na-</w:t>
      </w:r>
      <w:r>
        <w:rPr>
          <w:b/>
        </w:rPr>
        <w:t>kyung</w:t>
      </w:r>
      <w:r>
        <w:rPr>
          <w:lang w:eastAsia="ko-KR"/>
          <w:b/>
          <w:rtl w:val="off"/>
        </w:rPr>
        <w:t>)</w:t>
      </w:r>
    </w:p>
    <w:p/>
    <w:p>
      <w:pPr>
        <w:ind w:leftChars="0"/>
        <w:rPr>
          <w:lang w:eastAsia="ko-KR"/>
          <w:rFonts w:hint="eastAsia"/>
          <w:b w:val="0"/>
          <w:bCs w:val="0"/>
          <w:rtl w:val="off"/>
        </w:rPr>
      </w:pPr>
      <w:r>
        <w:rPr>
          <w:lang w:eastAsia="ko-KR"/>
          <w:b w:val="0"/>
          <w:bCs w:val="0"/>
          <w:rtl w:val="off"/>
        </w:rPr>
        <w:t>1</w:t>
      </w:r>
      <w:r>
        <w:rPr>
          <w:b w:val="0"/>
          <w:bCs w:val="0"/>
        </w:rPr>
        <w:t>) Amendments adopted by the EP</w:t>
      </w:r>
      <w:r>
        <w:rPr>
          <w:lang w:eastAsia="ko-KR"/>
          <w:b w:val="0"/>
          <w:bCs w:val="0"/>
          <w:rtl w:val="off"/>
        </w:rPr>
        <w:t xml:space="preserve"> </w:t>
      </w:r>
    </w:p>
    <w:p>
      <w:pPr>
        <w:ind w:leftChars="0"/>
        <w:rPr>
          <w:lang w:eastAsia="ko-KR"/>
          <w:rFonts w:hint="eastAsia"/>
          <w:b w:val="0"/>
          <w:bCs w:val="0"/>
          <w:rtl w:val="off"/>
        </w:rPr>
      </w:pPr>
      <w:r>
        <w:rPr>
          <w:lang w:eastAsia="ko-KR"/>
          <w:b w:val="0"/>
          <w:bCs w:val="0"/>
          <w:rtl w:val="off"/>
        </w:rPr>
        <w:t>2</w:t>
      </w:r>
      <w:r>
        <w:rPr>
          <w:b w:val="0"/>
          <w:bCs w:val="0"/>
        </w:rPr>
        <w:t xml:space="preserve">) Voting Records of the EP on </w:t>
      </w:r>
      <w:r>
        <w:rPr>
          <w:b w:val="0"/>
          <w:bCs w:val="0"/>
        </w:rPr>
        <w:t>21 Nov.</w:t>
      </w:r>
      <w:r>
        <w:rPr>
          <w:b w:val="0"/>
          <w:bCs w:val="0"/>
        </w:rPr>
        <w:t xml:space="preserve"> 202</w:t>
      </w:r>
      <w:r>
        <w:rPr>
          <w:b w:val="0"/>
          <w:bCs w:val="0"/>
        </w:rPr>
        <w:t>3</w:t>
      </w:r>
      <w:r>
        <w:rPr>
          <w:b w:val="0"/>
          <w:bCs w:val="0"/>
        </w:rPr>
        <w:t xml:space="preserve"> </w:t>
      </w:r>
    </w:p>
    <w:p>
      <w:pPr>
        <w:rPr>
          <w:lang w:eastAsia="ko-KR"/>
          <w:rFonts w:hint="eastAsia"/>
          <w:b w:val="0"/>
          <w:bCs w:val="0"/>
          <w:rtl w:val="off"/>
        </w:rPr>
      </w:pPr>
      <w:r>
        <w:rPr>
          <w:lang w:eastAsia="ko-KR"/>
          <w:rFonts w:hint="eastAsia"/>
          <w:b w:val="0"/>
          <w:bCs w:val="0"/>
          <w:rtl w:val="off"/>
        </w:rPr>
        <w:t xml:space="preserve">3) Content Analysis of the amendments by Na-kyung Kang. </w:t>
      </w:r>
    </w:p>
    <w:p>
      <w:pPr>
        <w:rPr>
          <w:lang w:eastAsia="ko-KR"/>
          <w:rFonts w:hint="eastAsia"/>
          <w:b/>
          <w:rtl w:val="off"/>
        </w:rPr>
      </w:pPr>
    </w:p>
    <w:p>
      <w:pPr>
        <w:rPr>
          <w:b/>
        </w:rPr>
      </w:pPr>
      <w:r>
        <w:rPr>
          <w:b/>
        </w:rPr>
        <w:t>Week 12 (</w:t>
      </w:r>
      <w:r>
        <w:rPr>
          <w:lang w:eastAsia="ko-KR"/>
          <w:b/>
          <w:rtl w:val="off"/>
        </w:rPr>
        <w:t xml:space="preserve">May 20) </w:t>
      </w:r>
      <w:r>
        <w:rPr>
          <w:b/>
        </w:rPr>
        <w:t>Logit Model Explained</w:t>
      </w:r>
    </w:p>
    <w:p>
      <w:pPr>
        <w:rPr>
          <w:lang w:eastAsia="ko-KR"/>
          <w:rFonts w:hint="eastAsia"/>
          <w:rtl w:val="off"/>
        </w:rPr>
      </w:pPr>
    </w:p>
    <w:p>
      <w:r>
        <w:rPr>
          <w:lang w:eastAsia="ko-KR"/>
          <w:rtl w:val="off"/>
        </w:rPr>
        <w:t>1) class note for the logit model</w:t>
      </w:r>
    </w:p>
    <w:p/>
    <w:p>
      <w:pPr>
        <w:rPr>
          <w:b/>
        </w:rPr>
      </w:pPr>
      <w:r>
        <w:rPr>
          <w:b/>
        </w:rPr>
        <w:t>Week 13 (</w:t>
      </w:r>
      <w:r>
        <w:rPr>
          <w:lang w:eastAsia="ko-KR"/>
          <w:b/>
          <w:rtl w:val="off"/>
        </w:rPr>
        <w:t>May</w:t>
      </w:r>
      <w:r>
        <w:rPr>
          <w:b/>
        </w:rPr>
        <w:t xml:space="preserve">. </w:t>
      </w:r>
      <w:r>
        <w:rPr>
          <w:b/>
        </w:rPr>
        <w:t>2</w:t>
      </w:r>
      <w:r>
        <w:rPr>
          <w:lang w:eastAsia="ko-KR"/>
          <w:b/>
          <w:rtl w:val="off"/>
        </w:rPr>
        <w:t>7</w:t>
      </w:r>
      <w:r>
        <w:rPr>
          <w:b/>
        </w:rPr>
        <w:t>) Logit Analysis with CBAM Data</w:t>
      </w:r>
    </w:p>
    <w:p/>
    <w:p>
      <w:pPr>
        <w:ind w:leftChars="0"/>
      </w:pPr>
      <w:r>
        <w:rPr>
          <w:lang w:eastAsia="ko-KR"/>
          <w:rFonts w:hint="eastAsia"/>
          <w:rtl w:val="off"/>
        </w:rPr>
        <w:t>1) practice with STATA (the lecture room will be changed to the computer lab)</w:t>
      </w:r>
    </w:p>
    <w:p>
      <w:pPr>
        <w:ind w:left="800"/>
      </w:pPr>
    </w:p>
    <w:p>
      <w:pPr>
        <w:rPr>
          <w:b/>
        </w:rPr>
      </w:pPr>
      <w:r>
        <w:rPr>
          <w:b/>
        </w:rPr>
        <w:t>Week 14 (</w:t>
      </w:r>
      <w:r>
        <w:rPr>
          <w:lang w:eastAsia="ko-KR"/>
          <w:b/>
          <w:rtl w:val="off"/>
        </w:rPr>
        <w:t>June</w:t>
      </w:r>
      <w:r>
        <w:rPr>
          <w:b/>
        </w:rPr>
        <w:t xml:space="preserve"> </w:t>
      </w:r>
      <w:r>
        <w:rPr>
          <w:b/>
        </w:rPr>
        <w:t>0</w:t>
      </w:r>
      <w:r>
        <w:rPr>
          <w:lang w:eastAsia="ko-KR"/>
          <w:b/>
          <w:rtl w:val="off"/>
        </w:rPr>
        <w:t>3</w:t>
      </w:r>
      <w:r>
        <w:rPr>
          <w:b/>
        </w:rPr>
        <w:t>). Logit Analysis with CBAM Data</w:t>
      </w:r>
    </w:p>
    <w:p/>
    <w:p>
      <w:pPr>
        <w:ind w:leftChars="0"/>
      </w:pPr>
      <w:r>
        <w:rPr>
          <w:lang w:eastAsia="ko-KR"/>
          <w:rFonts w:hint="eastAsia"/>
          <w:rtl w:val="off"/>
        </w:rPr>
        <w:t>1) practice with STATA</w:t>
      </w:r>
      <w:r>
        <w:rPr>
          <w:rFonts w:hint="eastAsia"/>
        </w:rPr>
        <w:t xml:space="preserve"> </w:t>
      </w:r>
    </w:p>
    <w:p>
      <w:pPr>
        <w:pStyle w:val="a4"/>
        <w:ind w:leftChars="0" w:left="1160"/>
      </w:pPr>
    </w:p>
    <w:p>
      <w:pPr>
        <w:rPr>
          <w:lang w:eastAsia="ko-KR"/>
          <w:rFonts w:hint="eastAsia"/>
          <w:b/>
          <w:rtl w:val="off"/>
        </w:rPr>
      </w:pPr>
      <w:r>
        <w:rPr>
          <w:b/>
        </w:rPr>
        <w:t>Week 15 (</w:t>
      </w:r>
      <w:r>
        <w:rPr>
          <w:lang w:eastAsia="ko-KR"/>
          <w:b/>
          <w:rtl w:val="off"/>
        </w:rPr>
        <w:t>June</w:t>
      </w:r>
      <w:r>
        <w:rPr>
          <w:b/>
        </w:rPr>
        <w:t xml:space="preserve"> 1</w:t>
      </w:r>
      <w:r>
        <w:rPr>
          <w:b/>
        </w:rPr>
        <w:t>0</w:t>
      </w:r>
      <w:r>
        <w:rPr>
          <w:b/>
        </w:rPr>
        <w:t xml:space="preserve">) </w:t>
      </w:r>
      <w:r>
        <w:rPr>
          <w:b/>
        </w:rPr>
        <w:t>Final Report</w:t>
      </w:r>
    </w:p>
    <w:p>
      <w:pPr>
        <w:rPr>
          <w:lang w:eastAsia="ko-KR"/>
          <w:rFonts w:hint="eastAsia"/>
          <w:b w:val="0"/>
          <w:rtl w:val="off"/>
        </w:rPr>
      </w:pPr>
      <w:r>
        <w:rPr>
          <w:lang w:eastAsia="ko-KR"/>
          <w:b w:val="0"/>
          <w:rtl w:val="off"/>
        </w:rPr>
        <w:t>1) No Class, Individual Trials</w:t>
      </w:r>
    </w:p>
    <w:p>
      <w:pPr>
        <w:rPr>
          <w:lang w:eastAsia="ko-KR"/>
          <w:rFonts w:hint="eastAsia"/>
          <w:b w:val="0"/>
          <w:rtl w:val="off"/>
        </w:rPr>
      </w:pPr>
      <w:r>
        <w:rPr>
          <w:lang w:eastAsia="ko-KR"/>
          <w:b w:val="0"/>
          <w:rtl w:val="off"/>
        </w:rPr>
        <w:t xml:space="preserve">2) </w:t>
      </w:r>
      <w:r>
        <w:rPr>
          <w:b w:val="0"/>
        </w:rPr>
        <w:t>Logit Analysis with</w:t>
      </w:r>
      <w:r>
        <w:rPr>
          <w:lang w:eastAsia="ko-KR"/>
          <w:b w:val="0"/>
          <w:rtl w:val="off"/>
        </w:rPr>
        <w:t xml:space="preserve"> the Voting Records of the Net-Zero Industry Regulation)</w:t>
      </w:r>
    </w:p>
    <w:p>
      <w:pPr>
        <w:rPr/>
      </w:pPr>
      <w:r>
        <w:rPr>
          <w:lang w:eastAsia="ko-KR"/>
          <w:b w:val="0"/>
          <w:rtl w:val="off"/>
        </w:rPr>
        <w:t xml:space="preserve">3) Due Date for submission is June 17.  </w:t>
      </w:r>
    </w:p>
    <w:sectPr>
      <w:pgSz w:w="11906" w:h="16838"/>
      <w:pgMar w:top="1701" w:right="1440" w:bottom="1440" w:left="1440" w:header="851" w:footer="992" w:gutter="0"/>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w:font w:name="맑은 고딕">
    <w:panose1 w:val="020B0503020000020004"/>
    <w:family w:val="modern"/>
    <w:charset w:val="81"/>
    <w:notTrueType w:val="false"/>
    <w:sig w:usb0="9000002F" w:usb1="29D77CFB" w:usb2="00000012" w:usb3="00000001" w:csb0="00080001" w:csb1="00000001"/>
  </w:font>
  <w:font w:name="Arial">
    <w:panose1 w:val="020B0604020202020204"/>
    <w:charset w:val="00"/>
    <w:notTrueType w:val="false"/>
    <w:sig w:usb0="E0002EFF" w:usb1="C000785B" w:usb2="00000009" w:usb3="00000001"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w:zoom w:percent="100"/>
  <w:removePersonalInformation/>
  <w:bordersDontSurroundHeader/>
  <w:bordersDontSurroundFooter/>
  <w:hideGrammaticalErrors/>
  <w:proofState w:spelling="clean" w:grammar="clean"/>
  <w:defaultTabStop w:val="800"/>
  <w:hyphenationZone w:val="360"/>
  <w:stylePaneFormatFilter w:val="4024" w:allStyles="0" w:customStyles="0" w:latentStyles="1" w:stylesInUse="0" w:headingStyles="1" w:numberingStyles="0" w:tableStyles="0" w:directFormattingOnRuns="0" w:directFormattingOnParagraphs="0" w:directFormattingOnNumbering="0" w:directFormattingOnTables="0" w:clearFormatting="0" w:top3HeadingStyles="0" w:visibleStyles="1" w:alternateStyleNames="0"/>
  <w:drawingGridHorizontalSpacing w:val="180"/>
  <w:drawingGridVerticalSpacing w:val="180"/>
  <w:displayHorizontalDrawingGridEvery w:val="1"/>
  <w:displayVerticalDrawingGridEvery w:val="2"/>
  <w:noPunctuationKerning/>
  <w:characterSpacingControl w:val="doNotCompres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val="1"/>
    <m:lMargin m:val="0"/>
    <m:rMargin m:val="0"/>
    <m:defJc m:val="centerGroup"/>
    <m:wrapIndent m:val="1440"/>
    <m:wrapRight m:val="0"/>
    <m:intLim m:val="subSup"/>
    <m:naryLim m:val="undOvr"/>
    <m:interSp m:val="0"/>
    <m:intraSp m:val="0"/>
    <m:preSp m:val="0"/>
    <m:postSp m:val="0"/>
  </m:mathPr>
  <w:themeFontLang w:val="en-US" w:eastAsia="ko-KR" w:bidi="ar-SA"/>
</w:settings>
</file>

<file path=word/styles.xml><?xml version="1.0" encoding="utf-8"?>
<w:styles xmlns:r="http://schemas.openxmlformats.org/officeDocument/2006/relationships" xmlns:w="http://schemas.openxmlformats.org/wordprocessingml/2006/main">
  <w:docDefaults>
    <w:rPrDefault>
      <w:rPr>
        <w:lang w:val="en-US" w:eastAsia="ko-KR" w:bidi="ar-SA"/>
        <w:rFonts w:asciiTheme="minorHAnsi" w:eastAsiaTheme="minorEastAsia" w:hAnsiTheme="minorHAnsi" w:cstheme="minorBidi"/>
        <w:szCs w:val="22"/>
        <w:kern w:val="2"/>
      </w:rPr>
    </w:rPrDefault>
    <w:pPrDefault>
      <w:pPr>
        <w:jc w:val="both"/>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777" w:unhideWhenUsed="1"/>
    <w:lsdException w:name="toc 2" w:semiHidden="1" w:uiPriority="777" w:unhideWhenUsed="1"/>
    <w:lsdException w:name="toc 3" w:semiHidden="1" w:uiPriority="777" w:unhideWhenUsed="1"/>
    <w:lsdException w:name="toc 4" w:semiHidden="1" w:uiPriority="777" w:unhideWhenUsed="1"/>
    <w:lsdException w:name="toc 5" w:semiHidden="1" w:uiPriority="777" w:unhideWhenUsed="1"/>
    <w:lsdException w:name="toc 6" w:semiHidden="1" w:uiPriority="777" w:unhideWhenUsed="1"/>
    <w:lsdException w:name="toc 7" w:semiHidden="1" w:uiPriority="777" w:unhideWhenUsed="1"/>
    <w:lsdException w:name="toc 8" w:semiHidden="1" w:uiPriority="777" w:unhideWhenUsed="1"/>
    <w:lsdException w:name="toc 9" w:semiHidden="1" w:uiPriority="777"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773"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8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8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304" w:qFormat="1"/>
    <w:lsdException w:name="Emphasis" w:uiPriority="296"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777"/>
    <w:lsdException w:name="Table Theme" w:semiHidden="1" w:unhideWhenUsed="1"/>
    <w:lsdException w:name="Placeholder Text" w:semiHidden="1"/>
    <w:lsdException w:name="No Spacing" w:uiPriority="1" w:qFormat="1"/>
    <w:lsdException w:name="Light Shading" w:uiPriority="2082"/>
    <w:lsdException w:name="Light List" w:uiPriority="2083"/>
    <w:lsdException w:name="Light Grid" w:uiPriority="2084"/>
    <w:lsdException w:name="Medium Shading 1" w:uiPriority="2085"/>
    <w:lsdException w:name="Medium Shading 2" w:uiPriority="5170"/>
    <w:lsdException w:name="Medium List 1" w:uiPriority="5171"/>
    <w:lsdException w:name="Medium List 2" w:uiPriority="5430"/>
    <w:lsdException w:name="Medium Grid 1" w:uiPriority="5431"/>
    <w:lsdException w:name="Medium Grid 2" w:uiPriority="5444"/>
    <w:lsdException w:name="Medium Grid 3" w:uiPriority="5445"/>
    <w:lsdException w:name="Dark List" w:uiPriority="5494"/>
    <w:lsdException w:name="Colorful Shading" w:uiPriority="5495"/>
    <w:lsdException w:name="Colorful List" w:uiPriority="5508"/>
    <w:lsdException w:name="Colorful Grid" w:uiPriority="5509"/>
    <w:lsdException w:name="Light Shading Accent 1" w:uiPriority="2082"/>
    <w:lsdException w:name="Light List Accent 1" w:uiPriority="2083"/>
    <w:lsdException w:name="Light Grid Accent 1" w:uiPriority="2084"/>
    <w:lsdException w:name="Medium Shading 1 Accent 1" w:uiPriority="2085"/>
    <w:lsdException w:name="Medium Shading 2 Accent 1" w:uiPriority="5170"/>
    <w:lsdException w:name="Medium List 1 Accent 1" w:uiPriority="5171"/>
    <w:lsdException w:name="Revision" w:semiHidden="1"/>
    <w:lsdException w:name="List Paragraph" w:uiPriority="772" w:qFormat="1"/>
    <w:lsdException w:name="Quote" w:uiPriority="599" w:qFormat="1"/>
    <w:lsdException w:name="Intense Quote" w:uiPriority="630" w:qFormat="1"/>
    <w:lsdException w:name="Medium List 2 Accent 1" w:uiPriority="5430"/>
    <w:lsdException w:name="Medium Grid 1 Accent 1" w:uiPriority="5431"/>
    <w:lsdException w:name="Medium Grid 2 Accent 1" w:uiPriority="5444"/>
    <w:lsdException w:name="Medium Grid 3 Accent 1" w:uiPriority="5445"/>
    <w:lsdException w:name="Dark List Accent 1" w:uiPriority="5494"/>
    <w:lsdException w:name="Colorful Shading Accent 1" w:uiPriority="5495"/>
    <w:lsdException w:name="Colorful List Accent 1" w:uiPriority="5508"/>
    <w:lsdException w:name="Colorful Grid Accent 1" w:uiPriority="5509"/>
    <w:lsdException w:name="Light Shading Accent 2" w:uiPriority="2082"/>
    <w:lsdException w:name="Light List Accent 2" w:uiPriority="2083"/>
    <w:lsdException w:name="Light Grid Accent 2" w:uiPriority="2084"/>
    <w:lsdException w:name="Medium Shading 1 Accent 2" w:uiPriority="2085"/>
    <w:lsdException w:name="Medium Shading 2 Accent 2" w:uiPriority="5170"/>
    <w:lsdException w:name="Medium List 1 Accent 2" w:uiPriority="5171"/>
    <w:lsdException w:name="Medium List 2 Accent 2" w:uiPriority="5430"/>
    <w:lsdException w:name="Medium Grid 1 Accent 2" w:uiPriority="5431"/>
    <w:lsdException w:name="Medium Grid 2 Accent 2" w:uiPriority="5444"/>
    <w:lsdException w:name="Medium Grid 3 Accent 2" w:uiPriority="5445"/>
    <w:lsdException w:name="Dark List Accent 2" w:uiPriority="5494"/>
    <w:lsdException w:name="Colorful Shading Accent 2" w:uiPriority="5495"/>
    <w:lsdException w:name="Colorful List Accent 2" w:uiPriority="5508"/>
    <w:lsdException w:name="Colorful Grid Accent 2" w:uiPriority="5509"/>
    <w:lsdException w:name="Light Shading Accent 3" w:uiPriority="2082"/>
    <w:lsdException w:name="Light List Accent 3" w:uiPriority="2083"/>
    <w:lsdException w:name="Light Grid Accent 3" w:uiPriority="2084"/>
    <w:lsdException w:name="Medium Shading 1 Accent 3" w:uiPriority="2085"/>
    <w:lsdException w:name="Medium Shading 2 Accent 3" w:uiPriority="5170"/>
    <w:lsdException w:name="Medium List 1 Accent 3" w:uiPriority="5171"/>
    <w:lsdException w:name="Medium List 2 Accent 3" w:uiPriority="5430"/>
    <w:lsdException w:name="Medium Grid 1 Accent 3" w:uiPriority="5431"/>
    <w:lsdException w:name="Medium Grid 2 Accent 3" w:uiPriority="5444"/>
    <w:lsdException w:name="Medium Grid 3 Accent 3" w:uiPriority="5445"/>
    <w:lsdException w:name="Dark List Accent 3" w:uiPriority="5494"/>
    <w:lsdException w:name="Colorful Shading Accent 3" w:uiPriority="5495"/>
    <w:lsdException w:name="Colorful List Accent 3" w:uiPriority="5508"/>
    <w:lsdException w:name="Colorful Grid Accent 3" w:uiPriority="5509"/>
    <w:lsdException w:name="Light Shading Accent 4" w:uiPriority="2082"/>
    <w:lsdException w:name="Light List Accent 4" w:uiPriority="2083"/>
    <w:lsdException w:name="Light Grid Accent 4" w:uiPriority="2084"/>
    <w:lsdException w:name="Medium Shading 1 Accent 4" w:uiPriority="2085"/>
    <w:lsdException w:name="Medium Shading 2 Accent 4" w:uiPriority="5170"/>
    <w:lsdException w:name="Medium List 1 Accent 4" w:uiPriority="5171"/>
    <w:lsdException w:name="Medium List 2 Accent 4" w:uiPriority="5430"/>
    <w:lsdException w:name="Medium Grid 1 Accent 4" w:uiPriority="5431"/>
    <w:lsdException w:name="Medium Grid 2 Accent 4" w:uiPriority="5444"/>
    <w:lsdException w:name="Medium Grid 3 Accent 4" w:uiPriority="5445"/>
    <w:lsdException w:name="Dark List Accent 4" w:uiPriority="5494"/>
    <w:lsdException w:name="Colorful Shading Accent 4" w:uiPriority="5495"/>
    <w:lsdException w:name="Colorful List Accent 4" w:uiPriority="5508"/>
    <w:lsdException w:name="Colorful Grid Accent 4" w:uiPriority="5509"/>
    <w:lsdException w:name="Light Shading Accent 5" w:uiPriority="2082"/>
    <w:lsdException w:name="Light List Accent 5" w:uiPriority="2083"/>
    <w:lsdException w:name="Light Grid Accent 5" w:uiPriority="2084"/>
    <w:lsdException w:name="Medium Shading 1 Accent 5" w:uiPriority="2085"/>
    <w:lsdException w:name="Medium Shading 2 Accent 5" w:uiPriority="5170"/>
    <w:lsdException w:name="Medium List 1 Accent 5" w:uiPriority="5171"/>
    <w:lsdException w:name="Medium List 2 Accent 5" w:uiPriority="5430"/>
    <w:lsdException w:name="Medium Grid 1 Accent 5" w:uiPriority="5431"/>
    <w:lsdException w:name="Medium Grid 2 Accent 5" w:uiPriority="5444"/>
    <w:lsdException w:name="Medium Grid 3 Accent 5" w:uiPriority="5445"/>
    <w:lsdException w:name="Dark List Accent 5" w:uiPriority="5494"/>
    <w:lsdException w:name="Colorful Shading Accent 5" w:uiPriority="5495"/>
    <w:lsdException w:name="Colorful List Accent 5" w:uiPriority="5508"/>
    <w:lsdException w:name="Colorful Grid Accent 5" w:uiPriority="5509"/>
    <w:lsdException w:name="Light Shading Accent 6" w:uiPriority="2082"/>
    <w:lsdException w:name="Light List Accent 6" w:uiPriority="2083"/>
    <w:lsdException w:name="Light Grid Accent 6" w:uiPriority="2084"/>
    <w:lsdException w:name="Medium Shading 1 Accent 6" w:uiPriority="2085"/>
    <w:lsdException w:name="Medium Shading 2 Accent 6" w:uiPriority="5170"/>
    <w:lsdException w:name="Medium List 1 Accent 6" w:uiPriority="5171"/>
    <w:lsdException w:name="Medium List 2 Accent 6" w:uiPriority="5430"/>
    <w:lsdException w:name="Medium Grid 1 Accent 6" w:uiPriority="5431"/>
    <w:lsdException w:name="Medium Grid 2 Accent 6" w:uiPriority="5444"/>
    <w:lsdException w:name="Medium Grid 3 Accent 6" w:uiPriority="5445"/>
    <w:lsdException w:name="Dark List Accent 6" w:uiPriority="5494"/>
    <w:lsdException w:name="Colorful Shading Accent 6" w:uiPriority="5495"/>
    <w:lsdException w:name="Colorful List Accent 6" w:uiPriority="5508"/>
    <w:lsdException w:name="Colorful Grid Accent 6" w:uiPriority="5509"/>
    <w:lsdException w:name="Subtle Emphasis" w:uiPriority="133" w:qFormat="1"/>
    <w:lsdException w:name="Intense Emphasis" w:uiPriority="297" w:qFormat="1"/>
    <w:lsdException w:name="Subtle Reference" w:uiPriority="631" w:qFormat="1"/>
    <w:lsdException w:name="Intense Reference" w:uiPriority="662" w:qFormat="1"/>
    <w:lsdException w:name="Book Title" w:uiPriority="663" w:qFormat="1"/>
    <w:lsdException w:name="Bibliography" w:semiHidden="1" w:uiPriority="775" w:unhideWhenUsed="1"/>
    <w:lsdException w:name="TOC Heading" w:semiHidden="1" w:uiPriority="777" w:unhideWhenUsed="1" w:qFormat="1"/>
    <w:lsdException w:name="Plain Table 1" w:uiPriority="1433"/>
    <w:lsdException w:name="Plain Table 2" w:uiPriority="1536"/>
    <w:lsdException w:name="Plain Table 3" w:uiPriority="1537"/>
    <w:lsdException w:name="Plain Table 4" w:uiPriority="1544"/>
    <w:lsdException w:name="Plain Table 5" w:uiPriority="1545"/>
    <w:lsdException w:name="Grid Table Light" w:uiPriority="1432"/>
    <w:lsdException w:name="Grid Table 1 Light" w:uiPriority="1576"/>
    <w:lsdException w:name="Grid Table 2" w:uiPriority="1577"/>
    <w:lsdException w:name="Grid Table 3" w:uiPriority="1584"/>
    <w:lsdException w:name="Grid Table 4" w:uiPriority="1585"/>
    <w:lsdException w:name="Grid Table 5 Dark" w:uiPriority="1634"/>
    <w:lsdException w:name="Grid Table 6 Colorful" w:uiPriority="1635"/>
    <w:lsdException w:name="Grid Table 7 Colorful" w:uiPriority="1906"/>
    <w:lsdException w:name="Grid Table 1 Light Accent 1" w:uiPriority="1576"/>
    <w:lsdException w:name="Grid Table 2 Accent 1" w:uiPriority="1577"/>
    <w:lsdException w:name="Grid Table 3 Accent 1" w:uiPriority="1584"/>
    <w:lsdException w:name="Grid Table 4 Accent 1" w:uiPriority="1585"/>
    <w:lsdException w:name="Grid Table 5 Dark Accent 1" w:uiPriority="1634"/>
    <w:lsdException w:name="Grid Table 6 Colorful Accent 1" w:uiPriority="1635"/>
    <w:lsdException w:name="Grid Table 7 Colorful Accent 1" w:uiPriority="1906"/>
    <w:lsdException w:name="Grid Table 1 Light Accent 2" w:uiPriority="1576"/>
    <w:lsdException w:name="Grid Table 2 Accent 2" w:uiPriority="1577"/>
    <w:lsdException w:name="Grid Table 3 Accent 2" w:uiPriority="1584"/>
    <w:lsdException w:name="Grid Table 4 Accent 2" w:uiPriority="1585"/>
    <w:lsdException w:name="Grid Table 5 Dark Accent 2" w:uiPriority="1634"/>
    <w:lsdException w:name="Grid Table 6 Colorful Accent 2" w:uiPriority="1635"/>
    <w:lsdException w:name="Grid Table 7 Colorful Accent 2" w:uiPriority="1906"/>
    <w:lsdException w:name="Grid Table 1 Light Accent 3" w:uiPriority="1576"/>
    <w:lsdException w:name="Grid Table 2 Accent 3" w:uiPriority="1577"/>
    <w:lsdException w:name="Grid Table 3 Accent 3" w:uiPriority="1584"/>
    <w:lsdException w:name="Grid Table 4 Accent 3" w:uiPriority="1585"/>
    <w:lsdException w:name="Grid Table 5 Dark Accent 3" w:uiPriority="1634"/>
    <w:lsdException w:name="Grid Table 6 Colorful Accent 3" w:uiPriority="1635"/>
    <w:lsdException w:name="Grid Table 7 Colorful Accent 3" w:uiPriority="1906"/>
    <w:lsdException w:name="Grid Table 1 Light Accent 4" w:uiPriority="1576"/>
    <w:lsdException w:name="Grid Table 2 Accent 4" w:uiPriority="1577"/>
    <w:lsdException w:name="Grid Table 3 Accent 4" w:uiPriority="1584"/>
    <w:lsdException w:name="Grid Table 4 Accent 4" w:uiPriority="1585"/>
    <w:lsdException w:name="Grid Table 5 Dark Accent 4" w:uiPriority="1634"/>
    <w:lsdException w:name="Grid Table 6 Colorful Accent 4" w:uiPriority="1635"/>
    <w:lsdException w:name="Grid Table 7 Colorful Accent 4" w:uiPriority="1906"/>
    <w:lsdException w:name="Grid Table 1 Light Accent 5" w:uiPriority="1576"/>
    <w:lsdException w:name="Grid Table 2 Accent 5" w:uiPriority="1577"/>
    <w:lsdException w:name="Grid Table 3 Accent 5" w:uiPriority="1584"/>
    <w:lsdException w:name="Grid Table 4 Accent 5" w:uiPriority="1585"/>
    <w:lsdException w:name="Grid Table 5 Dark Accent 5" w:uiPriority="1634"/>
    <w:lsdException w:name="Grid Table 6 Colorful Accent 5" w:uiPriority="1635"/>
    <w:lsdException w:name="Grid Table 7 Colorful Accent 5" w:uiPriority="1906"/>
    <w:lsdException w:name="Grid Table 1 Light Accent 6" w:uiPriority="1576"/>
    <w:lsdException w:name="Grid Table 2 Accent 6" w:uiPriority="1577"/>
    <w:lsdException w:name="Grid Table 3 Accent 6" w:uiPriority="1584"/>
    <w:lsdException w:name="Grid Table 4 Accent 6" w:uiPriority="1585"/>
    <w:lsdException w:name="Grid Table 5 Dark Accent 6" w:uiPriority="1634"/>
    <w:lsdException w:name="Grid Table 6 Colorful Accent 6" w:uiPriority="1635"/>
    <w:lsdException w:name="Grid Table 7 Colorful Accent 6" w:uiPriority="1906"/>
    <w:lsdException w:name="List Table 1 Light" w:uiPriority="1576"/>
    <w:lsdException w:name="List Table 2" w:uiPriority="1577"/>
    <w:lsdException w:name="List Table 3" w:uiPriority="1584"/>
    <w:lsdException w:name="List Table 4" w:uiPriority="1585"/>
    <w:lsdException w:name="List Table 5 Dark" w:uiPriority="1634"/>
    <w:lsdException w:name="List Table 6 Colorful" w:uiPriority="1635"/>
    <w:lsdException w:name="List Table 7 Colorful" w:uiPriority="1906"/>
    <w:lsdException w:name="List Table 1 Light Accent 1" w:uiPriority="1576"/>
    <w:lsdException w:name="List Table 2 Accent 1" w:uiPriority="1577"/>
    <w:lsdException w:name="List Table 3 Accent 1" w:uiPriority="1584"/>
    <w:lsdException w:name="List Table 4 Accent 1" w:uiPriority="1585"/>
    <w:lsdException w:name="List Table 5 Dark Accent 1" w:uiPriority="1634"/>
    <w:lsdException w:name="List Table 6 Colorful Accent 1" w:uiPriority="1635"/>
    <w:lsdException w:name="List Table 7 Colorful Accent 1" w:uiPriority="1906"/>
    <w:lsdException w:name="List Table 1 Light Accent 2" w:uiPriority="1576"/>
    <w:lsdException w:name="List Table 2 Accent 2" w:uiPriority="1577"/>
    <w:lsdException w:name="List Table 3 Accent 2" w:uiPriority="1584"/>
    <w:lsdException w:name="List Table 4 Accent 2" w:uiPriority="1585"/>
    <w:lsdException w:name="List Table 5 Dark Accent 2" w:uiPriority="1634"/>
    <w:lsdException w:name="List Table 6 Colorful Accent 2" w:uiPriority="1635"/>
    <w:lsdException w:name="List Table 7 Colorful Accent 2" w:uiPriority="1906"/>
    <w:lsdException w:name="List Table 1 Light Accent 3" w:uiPriority="1576"/>
    <w:lsdException w:name="List Table 2 Accent 3" w:uiPriority="1577"/>
    <w:lsdException w:name="List Table 3 Accent 3" w:uiPriority="1584"/>
    <w:lsdException w:name="List Table 4 Accent 3" w:uiPriority="1585"/>
    <w:lsdException w:name="List Table 5 Dark Accent 3" w:uiPriority="1634"/>
    <w:lsdException w:name="List Table 6 Colorful Accent 3" w:uiPriority="1635"/>
    <w:lsdException w:name="List Table 7 Colorful Accent 3" w:uiPriority="1906"/>
    <w:lsdException w:name="List Table 1 Light Accent 4" w:uiPriority="1576"/>
    <w:lsdException w:name="List Table 2 Accent 4" w:uiPriority="1577"/>
    <w:lsdException w:name="List Table 3 Accent 4" w:uiPriority="1584"/>
    <w:lsdException w:name="List Table 4 Accent 4" w:uiPriority="1585"/>
    <w:lsdException w:name="List Table 5 Dark Accent 4" w:uiPriority="1634"/>
    <w:lsdException w:name="List Table 6 Colorful Accent 4" w:uiPriority="1635"/>
    <w:lsdException w:name="List Table 7 Colorful Accent 4" w:uiPriority="1906"/>
    <w:lsdException w:name="List Table 1 Light Accent 5" w:uiPriority="1576"/>
    <w:lsdException w:name="List Table 2 Accent 5" w:uiPriority="1577"/>
    <w:lsdException w:name="List Table 3 Accent 5" w:uiPriority="1584"/>
    <w:lsdException w:name="List Table 4 Accent 5" w:uiPriority="1585"/>
    <w:lsdException w:name="List Table 5 Dark Accent 5" w:uiPriority="1634"/>
    <w:lsdException w:name="List Table 6 Colorful Accent 5" w:uiPriority="1635"/>
    <w:lsdException w:name="List Table 7 Colorful Accent 5" w:uiPriority="1906"/>
    <w:lsdException w:name="List Table 1 Light Accent 6" w:uiPriority="1576"/>
    <w:lsdException w:name="List Table 2 Accent 6" w:uiPriority="1577"/>
    <w:lsdException w:name="List Table 3 Accent 6" w:uiPriority="1584"/>
    <w:lsdException w:name="List Table 4 Accent 6" w:uiPriority="1585"/>
    <w:lsdException w:name="List Table 5 Dark Accent 6" w:uiPriority="1634"/>
    <w:lsdException w:name="List Table 6 Colorful Accent 6" w:uiPriority="1635"/>
    <w:lsdException w:name="List Table 7 Colorful Accent 6" w:uiPriority="1906"/>
  </w:latentStyles>
  <w:style w:type="paragraph" w:default="1" w:styleId="a">
    <w:name w:val="Normal"/>
    <w:qFormat/>
    <w:pPr>
      <w:autoSpaceDE w:val="off"/>
      <w:autoSpaceDN w:val="off"/>
      <w:widowControl w:val="off"/>
      <w:wordWrap w:val="off"/>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basedOn w:val="a0"/>
    <w:unhideWhenUsed/>
    <w:rPr>
      <w:color w:val="0563C1"/>
      <w:u w:val="single" w:color="auto"/>
    </w:rPr>
  </w:style>
  <w:style w:type="paragraph" w:styleId="a4">
    <w:name w:val="List Paragraph"/>
    <w:uiPriority w:val="34"/>
    <w:basedOn w:val="a"/>
    <w:qFormat/>
    <w:pPr>
      <w:ind w:leftChars="400" w:left="80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fontTable" Target="fontTable.xml" /><Relationship Id="rId4" Type="http://schemas.openxmlformats.org/officeDocument/2006/relationships/webSettings" Target="webSettings.xml" /><Relationship Id="rId5" Type="http://schemas.openxmlformats.org/officeDocument/2006/relationships/theme" Target="theme/theme1.xml" /></Relationships>
</file>

<file path=word/theme/theme1.xml><?xml version="1.0" encoding="utf-8"?>
<a:theme xmlns:a="http://schemas.openxmlformats.org/drawingml/2006/main" name="Office 테마">
  <a:themeElements>
    <a:clrScheme name="Office">
      <a:dk1>
        <a:sysClr lastClr="000000" val="windowText"/>
      </a:dk1>
      <a:lt1>
        <a:sysClr lastClr="FFFFFF" val="window"/>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Application>Word</Application>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한정훈</cp:lastModifiedBy>
  <cp:revision>1</cp:revision>
  <dcterms:created xsi:type="dcterms:W3CDTF">2024-08-28T01:09:00Z</dcterms:created>
  <dcterms:modified xsi:type="dcterms:W3CDTF">2025-01-17T06:01:22Z</dcterms:modified>
  <cp:version>1100.0100.01</cp:version>
</cp:coreProperties>
</file>