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A7C32" w14:textId="7E988D86" w:rsidR="004850AD" w:rsidRPr="004850AD" w:rsidRDefault="004850AD" w:rsidP="00DE5686">
      <w:pPr>
        <w:spacing w:line="240" w:lineRule="auto"/>
        <w:jc w:val="center"/>
        <w:rPr>
          <w:rFonts w:ascii="바탕" w:eastAsia="바탕" w:hAnsi="바탕" w:cs="바탕"/>
          <w:b/>
          <w:sz w:val="24"/>
          <w:szCs w:val="24"/>
        </w:rPr>
      </w:pPr>
      <w:bookmarkStart w:id="0" w:name="_GoBack"/>
      <w:bookmarkEnd w:id="0"/>
      <w:r>
        <w:rPr>
          <w:rFonts w:ascii="바탕" w:eastAsia="바탕" w:hAnsi="바탕" w:cs="바탕"/>
          <w:b/>
          <w:sz w:val="24"/>
          <w:szCs w:val="24"/>
        </w:rPr>
        <w:t>International Trade Seminar2</w:t>
      </w:r>
    </w:p>
    <w:p w14:paraId="0EFFD403" w14:textId="77777777" w:rsidR="005B7CB5" w:rsidRDefault="005B7CB5" w:rsidP="00DE56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Global Value Chains</w:t>
      </w:r>
      <w:r w:rsidR="004C17AC">
        <w:rPr>
          <w:rFonts w:ascii="Times New Roman" w:hAnsi="Times New Roman" w:cs="Times New Roman"/>
          <w:b/>
          <w:sz w:val="24"/>
          <w:szCs w:val="24"/>
        </w:rPr>
        <w:t xml:space="preserve">: Impacts, Implications, and Trade Policy Research </w:t>
      </w:r>
    </w:p>
    <w:p w14:paraId="3D7A5AEC" w14:textId="77777777" w:rsidR="004850AD" w:rsidRDefault="004850AD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541CC" w14:textId="77777777" w:rsidR="002A7FB1" w:rsidRPr="002A7FB1" w:rsidRDefault="002A7FB1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FB1">
        <w:rPr>
          <w:rFonts w:ascii="Times New Roman" w:hAnsi="Times New Roman" w:cs="Times New Roman"/>
          <w:sz w:val="24"/>
          <w:szCs w:val="24"/>
        </w:rPr>
        <w:t>Course Syllabus</w:t>
      </w:r>
    </w:p>
    <w:p w14:paraId="3869E642" w14:textId="77777777" w:rsidR="002A7FB1" w:rsidRPr="002A7FB1" w:rsidRDefault="002A7FB1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FB1">
        <w:rPr>
          <w:rFonts w:ascii="Times New Roman" w:hAnsi="Times New Roman" w:cs="Times New Roman"/>
          <w:sz w:val="24"/>
          <w:szCs w:val="24"/>
        </w:rPr>
        <w:t>Graduate School of International Studies</w:t>
      </w:r>
    </w:p>
    <w:p w14:paraId="51B33FD4" w14:textId="77777777" w:rsidR="002A7FB1" w:rsidRPr="002A7FB1" w:rsidRDefault="002A7FB1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FB1">
        <w:rPr>
          <w:rFonts w:ascii="Times New Roman" w:hAnsi="Times New Roman" w:cs="Times New Roman"/>
          <w:sz w:val="24"/>
          <w:szCs w:val="24"/>
        </w:rPr>
        <w:t>Seoul National University</w:t>
      </w:r>
    </w:p>
    <w:p w14:paraId="64A4774A" w14:textId="77777777" w:rsidR="002A7FB1" w:rsidRDefault="002A7FB1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FB1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7FB1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14813278" w14:textId="77777777" w:rsidR="002A7FB1" w:rsidRDefault="002A7FB1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598"/>
      </w:tblGrid>
      <w:tr w:rsidR="002A7FB1" w14:paraId="052AD077" w14:textId="77777777" w:rsidTr="00775FC5">
        <w:tc>
          <w:tcPr>
            <w:tcW w:w="4518" w:type="dxa"/>
          </w:tcPr>
          <w:p w14:paraId="3B79DE3D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Instructor:</w:t>
            </w:r>
          </w:p>
        </w:tc>
        <w:tc>
          <w:tcPr>
            <w:tcW w:w="4724" w:type="dxa"/>
          </w:tcPr>
          <w:p w14:paraId="4D4FB049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Class: </w:t>
            </w:r>
          </w:p>
        </w:tc>
      </w:tr>
      <w:tr w:rsidR="002A7FB1" w14:paraId="085F2B38" w14:textId="77777777" w:rsidTr="00775FC5">
        <w:tc>
          <w:tcPr>
            <w:tcW w:w="4518" w:type="dxa"/>
          </w:tcPr>
          <w:p w14:paraId="568C26F1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Jooyoung Yang</w:t>
            </w:r>
          </w:p>
        </w:tc>
        <w:tc>
          <w:tcPr>
            <w:tcW w:w="4724" w:type="dxa"/>
          </w:tcPr>
          <w:p w14:paraId="59BED0DA" w14:textId="5F3983EB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Fridays 9:30</w:t>
            </w:r>
            <w:r w:rsidR="00D4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861">
              <w:rPr>
                <w:rFonts w:ascii="바탕" w:eastAsia="바탕" w:hAnsi="바탕" w:cs="바탕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  <w:r w:rsidR="00D46861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5FC5">
              <w:rPr>
                <w:rFonts w:ascii="Times New Roman" w:hAnsi="Times New Roman" w:cs="Times New Roman"/>
                <w:sz w:val="24"/>
                <w:szCs w:val="24"/>
              </w:rPr>
              <w:t xml:space="preserve">via zoom) </w:t>
            </w:r>
          </w:p>
        </w:tc>
      </w:tr>
      <w:tr w:rsidR="002A7FB1" w14:paraId="5B1F68CB" w14:textId="77777777" w:rsidTr="00775FC5">
        <w:tc>
          <w:tcPr>
            <w:tcW w:w="4518" w:type="dxa"/>
          </w:tcPr>
          <w:p w14:paraId="4609A5A9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7" w:history="1">
              <w:r w:rsidRPr="00A61C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jyang@kiet.re.kr</w:t>
              </w:r>
            </w:hyperlink>
          </w:p>
        </w:tc>
        <w:tc>
          <w:tcPr>
            <w:tcW w:w="4724" w:type="dxa"/>
          </w:tcPr>
          <w:p w14:paraId="7B252593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B1" w14:paraId="20DA9F63" w14:textId="77777777" w:rsidTr="00775FC5">
        <w:tc>
          <w:tcPr>
            <w:tcW w:w="4518" w:type="dxa"/>
          </w:tcPr>
          <w:p w14:paraId="3C3066A5" w14:textId="1EEB9C86" w:rsidR="002A7FB1" w:rsidRDefault="002A0C3E" w:rsidP="002A0C3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+82-44-287-3123</w:t>
            </w:r>
          </w:p>
        </w:tc>
        <w:tc>
          <w:tcPr>
            <w:tcW w:w="4724" w:type="dxa"/>
          </w:tcPr>
          <w:p w14:paraId="27DE93D8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B1" w14:paraId="4C51607F" w14:textId="77777777" w:rsidTr="00775FC5">
        <w:tc>
          <w:tcPr>
            <w:tcW w:w="4518" w:type="dxa"/>
          </w:tcPr>
          <w:p w14:paraId="7E214B3D" w14:textId="728FA049" w:rsidR="002A7FB1" w:rsidRDefault="002A0C3E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h</w:t>
            </w:r>
            <w:r w:rsidR="002A7FB1">
              <w:rPr>
                <w:rFonts w:ascii="Times New Roman" w:hAnsi="Times New Roman" w:cs="Times New Roman"/>
                <w:sz w:val="24"/>
                <w:szCs w:val="24"/>
              </w:rPr>
              <w:t>ours: By appointment</w:t>
            </w:r>
          </w:p>
        </w:tc>
        <w:tc>
          <w:tcPr>
            <w:tcW w:w="4724" w:type="dxa"/>
          </w:tcPr>
          <w:p w14:paraId="5E505ECA" w14:textId="77777777" w:rsidR="002A7FB1" w:rsidRDefault="002A7FB1" w:rsidP="002A7F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FBE4D" w14:textId="77777777" w:rsidR="002A7FB1" w:rsidRDefault="002A7FB1" w:rsidP="002A7F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48BD4" w14:textId="57AFBDE6" w:rsidR="005B7CB5" w:rsidRDefault="00D46861" w:rsidP="00DE5686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overview</w:t>
      </w:r>
    </w:p>
    <w:p w14:paraId="68618CCF" w14:textId="1DE663D7" w:rsidR="002509D7" w:rsidRDefault="002509D7" w:rsidP="00250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7CB5">
        <w:rPr>
          <w:rFonts w:ascii="Times New Roman" w:hAnsi="Times New Roman" w:cs="Times New Roman"/>
          <w:sz w:val="24"/>
          <w:szCs w:val="24"/>
        </w:rPr>
        <w:t>This course aims to help</w:t>
      </w:r>
      <w:r>
        <w:rPr>
          <w:rFonts w:ascii="Times New Roman" w:hAnsi="Times New Roman" w:cs="Times New Roman"/>
          <w:sz w:val="24"/>
          <w:szCs w:val="24"/>
        </w:rPr>
        <w:t xml:space="preserve"> graduate students of international studies to understand global value chains and develop their knowledge on research and quantitative research skills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바탕" w:eastAsia="바탕" w:hAnsi="바탕" w:cs="바탕"/>
          <w:sz w:val="24"/>
          <w:szCs w:val="24"/>
        </w:rPr>
        <w:t>e</w:t>
      </w:r>
      <w:r w:rsidR="002435D3">
        <w:rPr>
          <w:rFonts w:ascii="Times New Roman" w:hAnsi="Times New Roman" w:cs="Times New Roman"/>
          <w:sz w:val="24"/>
          <w:szCs w:val="24"/>
        </w:rPr>
        <w:t xml:space="preserve"> course covers </w:t>
      </w:r>
      <w:r>
        <w:rPr>
          <w:rFonts w:ascii="Times New Roman" w:hAnsi="Times New Roman" w:cs="Times New Roman"/>
          <w:sz w:val="24"/>
          <w:szCs w:val="24"/>
        </w:rPr>
        <w:t xml:space="preserve">the development of global value chains over two decades and related issues including production fragmentation, foreign investments, servicification of manufacturing, </w:t>
      </w:r>
      <w:r w:rsidR="00A87642">
        <w:rPr>
          <w:rFonts w:ascii="Times New Roman" w:hAnsi="Times New Roman" w:cs="Times New Roman"/>
          <w:sz w:val="24"/>
          <w:szCs w:val="24"/>
        </w:rPr>
        <w:t>enhanced</w:t>
      </w:r>
      <w:r>
        <w:rPr>
          <w:rFonts w:ascii="Times New Roman" w:hAnsi="Times New Roman" w:cs="Times New Roman"/>
          <w:sz w:val="24"/>
          <w:szCs w:val="24"/>
        </w:rPr>
        <w:t xml:space="preserve"> role of SMEs, and trade policies. Further, the course addresses changes in recent international trade environment including COVID-19 and trade disputes, and their impacts on global value chains. </w:t>
      </w:r>
    </w:p>
    <w:p w14:paraId="2EFD2E6D" w14:textId="77777777" w:rsidR="00DF225E" w:rsidRDefault="002509D7" w:rsidP="00DF2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course also reviews recent empirical work that presents basic estimation and assessments of methodologies and theories on global value chains. Students are advised to have in-class presentations by reading recent research papers on global value chains and assignments using software programs (e.g. Stata) to learn methodologies to calculate value added </w:t>
      </w:r>
      <w:r w:rsidR="00331E2F">
        <w:rPr>
          <w:rFonts w:ascii="Times New Roman" w:hAnsi="Times New Roman" w:cs="Times New Roman"/>
          <w:sz w:val="24"/>
          <w:szCs w:val="24"/>
        </w:rPr>
        <w:t xml:space="preserve">trade </w:t>
      </w:r>
      <w:r>
        <w:rPr>
          <w:rFonts w:ascii="Times New Roman" w:hAnsi="Times New Roman" w:cs="Times New Roman"/>
          <w:sz w:val="24"/>
          <w:szCs w:val="24"/>
        </w:rPr>
        <w:t>using various sets of published data.</w:t>
      </w:r>
    </w:p>
    <w:p w14:paraId="6BB5C841" w14:textId="77777777" w:rsidR="00DF225E" w:rsidRDefault="00DF225E" w:rsidP="00DF2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CF1D3" w14:textId="4D7ABBBA" w:rsidR="00DF225E" w:rsidRPr="00DF225E" w:rsidRDefault="00DF225E" w:rsidP="00DF22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25E">
        <w:rPr>
          <w:rFonts w:ascii="Times New Roman" w:hAnsi="Times New Roman" w:cs="Times New Roman"/>
          <w:b/>
          <w:kern w:val="0"/>
          <w:sz w:val="24"/>
          <w:szCs w:val="24"/>
        </w:rPr>
        <w:t>Course methods</w:t>
      </w:r>
    </w:p>
    <w:p w14:paraId="4FCEFD97" w14:textId="4696D445" w:rsidR="006B0CB6" w:rsidRDefault="00DF225E" w:rsidP="006B0CB6">
      <w:pPr>
        <w:wordWrap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225E">
        <w:rPr>
          <w:rFonts w:ascii="Times New Roman" w:hAnsi="Times New Roman" w:cs="Times New Roman"/>
          <w:kern w:val="0"/>
          <w:sz w:val="24"/>
          <w:szCs w:val="24"/>
        </w:rPr>
        <w:t>The course will b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conducted in an online format through zoom, and details will be discussed with students. </w:t>
      </w:r>
      <w:r w:rsidR="00A87642">
        <w:rPr>
          <w:rFonts w:ascii="Times New Roman" w:hAnsi="Times New Roman" w:cs="Times New Roman"/>
          <w:kern w:val="0"/>
          <w:sz w:val="24"/>
          <w:szCs w:val="24"/>
        </w:rPr>
        <w:t>It</w:t>
      </w:r>
      <w:r w:rsidRPr="00DF225E">
        <w:rPr>
          <w:rFonts w:ascii="Times New Roman" w:hAnsi="Times New Roman" w:cs="Times New Roman"/>
          <w:kern w:val="0"/>
          <w:sz w:val="24"/>
          <w:szCs w:val="24"/>
        </w:rPr>
        <w:t xml:space="preserve"> will consist of a combination of lectures,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presentations and </w:t>
      </w:r>
      <w:r w:rsidRPr="00DF225E">
        <w:rPr>
          <w:rFonts w:ascii="Times New Roman" w:hAnsi="Times New Roman" w:cs="Times New Roman"/>
          <w:kern w:val="0"/>
          <w:sz w:val="24"/>
          <w:szCs w:val="24"/>
        </w:rPr>
        <w:t>discussions, and practical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25E">
        <w:rPr>
          <w:rFonts w:ascii="Times New Roman" w:hAnsi="Times New Roman" w:cs="Times New Roman"/>
          <w:kern w:val="0"/>
          <w:sz w:val="24"/>
          <w:szCs w:val="24"/>
        </w:rPr>
        <w:t xml:space="preserve">exercises. </w:t>
      </w:r>
      <w:r w:rsidR="006B0CB6">
        <w:rPr>
          <w:rFonts w:ascii="Times New Roman" w:hAnsi="Times New Roman" w:cs="Times New Roman"/>
          <w:kern w:val="0"/>
          <w:sz w:val="24"/>
          <w:szCs w:val="24"/>
        </w:rPr>
        <w:t xml:space="preserve">Students are expected to </w:t>
      </w:r>
      <w:r w:rsidR="00A87642">
        <w:rPr>
          <w:rFonts w:ascii="Times New Roman" w:hAnsi="Times New Roman" w:cs="Times New Roman"/>
          <w:kern w:val="0"/>
          <w:sz w:val="24"/>
          <w:szCs w:val="24"/>
        </w:rPr>
        <w:t xml:space="preserve">have </w:t>
      </w:r>
      <w:r w:rsidR="006B0CB6">
        <w:rPr>
          <w:rFonts w:ascii="Times New Roman" w:hAnsi="Times New Roman" w:cs="Times New Roman"/>
          <w:kern w:val="0"/>
          <w:sz w:val="24"/>
          <w:szCs w:val="24"/>
        </w:rPr>
        <w:t xml:space="preserve">read relevant articles for class discussion and their presentations. </w:t>
      </w:r>
    </w:p>
    <w:p w14:paraId="79FE439D" w14:textId="77777777" w:rsidR="006B0CB6" w:rsidRDefault="006B0CB6" w:rsidP="00DF225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A73B37" w14:textId="77777777" w:rsidR="005904C6" w:rsidRDefault="005904C6" w:rsidP="005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7E6207" w14:textId="1DB11107" w:rsidR="00D46861" w:rsidRDefault="00D46861" w:rsidP="00DE5686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materials</w:t>
      </w:r>
    </w:p>
    <w:p w14:paraId="304DE557" w14:textId="05D11D67" w:rsidR="00D46861" w:rsidRPr="00D24593" w:rsidRDefault="00973B19" w:rsidP="00D24593">
      <w:pPr>
        <w:rPr>
          <w:rFonts w:ascii="Times New Roman" w:hAnsi="Times New Roman" w:cs="Times New Roman"/>
          <w:sz w:val="24"/>
          <w:szCs w:val="24"/>
        </w:rPr>
      </w:pPr>
      <w:r w:rsidRPr="00973B19">
        <w:rPr>
          <w:rFonts w:ascii="Times New Roman" w:hAnsi="Times New Roman" w:cs="Times New Roman"/>
          <w:sz w:val="24"/>
          <w:szCs w:val="24"/>
        </w:rPr>
        <w:t xml:space="preserve">There is no comprehensive textbook for the analysis of GVCs. </w:t>
      </w:r>
      <w:r w:rsidR="00DF225E">
        <w:rPr>
          <w:rFonts w:ascii="Times New Roman" w:hAnsi="Times New Roman" w:cs="Times New Roman"/>
          <w:sz w:val="24"/>
          <w:szCs w:val="24"/>
        </w:rPr>
        <w:t xml:space="preserve">Basic knowledge on </w:t>
      </w:r>
      <w:r w:rsidR="00DF225E">
        <w:rPr>
          <w:rFonts w:ascii="Times New Roman" w:hAnsi="Times New Roman" w:cs="Times New Roman"/>
          <w:sz w:val="24"/>
          <w:szCs w:val="24"/>
        </w:rPr>
        <w:lastRenderedPageBreak/>
        <w:t>international</w:t>
      </w:r>
      <w:r w:rsidR="00D24593">
        <w:rPr>
          <w:rFonts w:ascii="Times New Roman" w:hAnsi="Times New Roman" w:cs="Times New Roman"/>
          <w:sz w:val="24"/>
          <w:szCs w:val="24"/>
        </w:rPr>
        <w:t xml:space="preserve"> trade is preferred, however, students will be provided the list of </w:t>
      </w:r>
      <w:r w:rsidR="00A87642">
        <w:rPr>
          <w:rFonts w:ascii="Times New Roman" w:hAnsi="Times New Roman" w:cs="Times New Roman"/>
          <w:sz w:val="24"/>
          <w:szCs w:val="24"/>
        </w:rPr>
        <w:t xml:space="preserve">relevant </w:t>
      </w:r>
      <w:r w:rsidR="00D24593">
        <w:rPr>
          <w:rFonts w:ascii="Times New Roman" w:hAnsi="Times New Roman" w:cs="Times New Roman"/>
          <w:sz w:val="24"/>
          <w:szCs w:val="24"/>
        </w:rPr>
        <w:t xml:space="preserve">papers </w:t>
      </w:r>
      <w:r w:rsidR="00A87642">
        <w:rPr>
          <w:rFonts w:ascii="Times New Roman" w:hAnsi="Times New Roman" w:cs="Times New Roman"/>
          <w:sz w:val="24"/>
          <w:szCs w:val="24"/>
        </w:rPr>
        <w:t xml:space="preserve">and articles </w:t>
      </w:r>
      <w:r w:rsidR="00D24593">
        <w:rPr>
          <w:rFonts w:ascii="Times New Roman" w:hAnsi="Times New Roman" w:cs="Times New Roman"/>
          <w:sz w:val="24"/>
          <w:szCs w:val="24"/>
        </w:rPr>
        <w:t xml:space="preserve">for each class. The following materials are examples and more will be added. </w:t>
      </w:r>
    </w:p>
    <w:p w14:paraId="73ED0E75" w14:textId="77777777" w:rsidR="00DF225E" w:rsidRPr="002D31D6" w:rsidRDefault="00DF225E" w:rsidP="00DF225E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31D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6224655" w14:textId="2BF0FEA6" w:rsidR="00D24593" w:rsidRDefault="00D24593" w:rsidP="00DF225E">
      <w:pPr>
        <w:wordWrap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>Books:</w:t>
      </w:r>
    </w:p>
    <w:p w14:paraId="4A0BF2A2" w14:textId="1A1346D2" w:rsidR="00D24593" w:rsidRPr="007179E7" w:rsidRDefault="00DF225E" w:rsidP="007179E7">
      <w:pPr>
        <w:pStyle w:val="a8"/>
        <w:numPr>
          <w:ilvl w:val="0"/>
          <w:numId w:val="5"/>
        </w:numPr>
        <w:wordWrap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7179E7">
        <w:rPr>
          <w:rFonts w:ascii="Times New Roman" w:eastAsia="TimesNewRomanPSMT" w:hAnsi="Times New Roman" w:cs="Times New Roman"/>
          <w:kern w:val="0"/>
          <w:sz w:val="24"/>
          <w:szCs w:val="24"/>
        </w:rPr>
        <w:t>Krugman, P., Obstfeld, M., and Melitz, M. International Economics: Theory and Poli</w:t>
      </w:r>
      <w:r w:rsidR="007179E7" w:rsidRPr="007179E7">
        <w:rPr>
          <w:rFonts w:ascii="Times New Roman" w:eastAsia="TimesNewRomanPSMT" w:hAnsi="Times New Roman" w:cs="Times New Roman"/>
          <w:kern w:val="0"/>
          <w:sz w:val="24"/>
          <w:szCs w:val="24"/>
        </w:rPr>
        <w:t>cy (11th edition, Pearson, 2018)</w:t>
      </w:r>
    </w:p>
    <w:p w14:paraId="1BFB6AF8" w14:textId="4AAC8E22" w:rsidR="00DF225E" w:rsidRPr="007179E7" w:rsidRDefault="00DF225E" w:rsidP="007179E7">
      <w:pPr>
        <w:pStyle w:val="a8"/>
        <w:numPr>
          <w:ilvl w:val="0"/>
          <w:numId w:val="5"/>
        </w:numPr>
        <w:wordWrap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717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Colin Cameron and Pravin K. Trivedi, </w:t>
      </w:r>
      <w:r w:rsidRPr="007179E7">
        <w:rPr>
          <w:rFonts w:ascii="Times New Roman" w:hAnsi="Times New Roman" w:cs="Times New Roman"/>
          <w:sz w:val="24"/>
          <w:szCs w:val="24"/>
        </w:rPr>
        <w:t>Microeconometrics Using Stata, (Revised edition, Stata Press, 2010)</w:t>
      </w:r>
    </w:p>
    <w:p w14:paraId="47680E5D" w14:textId="77777777" w:rsidR="00D24593" w:rsidRDefault="00D24593" w:rsidP="00DF225E">
      <w:pPr>
        <w:pStyle w:val="2"/>
        <w:spacing w:before="75" w:beforeAutospacing="0" w:after="75" w:afterAutospacing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14B2C4" w14:textId="131B0C1B" w:rsidR="00D24593" w:rsidRDefault="00D24593" w:rsidP="00DF225E">
      <w:pPr>
        <w:pStyle w:val="2"/>
        <w:spacing w:before="75" w:beforeAutospacing="0" w:after="75" w:afterAutospacing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Articles:</w:t>
      </w:r>
    </w:p>
    <w:p w14:paraId="0CEFC3A7" w14:textId="3AF0DCDA" w:rsidR="00D24593" w:rsidRPr="00047CED" w:rsidRDefault="00D24593" w:rsidP="00047CED">
      <w:pPr>
        <w:pStyle w:val="a8"/>
        <w:numPr>
          <w:ilvl w:val="0"/>
          <w:numId w:val="4"/>
        </w:num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>WTO (2017), </w:t>
      </w:r>
      <w:r w:rsidRPr="00047C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Global Value Chain Development Report 2019: Technological Innovation, Supply Chain Trade, and Workers in a Globalized World</w:t>
      </w: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WTO, Geneva, </w:t>
      </w:r>
      <w:hyperlink r:id="rId8" w:history="1">
        <w:r w:rsidRPr="00047CE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https://doi.org/10.30875/6b9727ab-en</w:t>
        </w:r>
      </w:hyperlink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7436C79" w14:textId="6B1C6EB0" w:rsidR="00D24593" w:rsidRPr="00047CED" w:rsidRDefault="00D24593" w:rsidP="00047CED">
      <w:pPr>
        <w:pStyle w:val="a8"/>
        <w:numPr>
          <w:ilvl w:val="0"/>
          <w:numId w:val="4"/>
        </w:numPr>
        <w:wordWrap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Koopman, R., W. Powers, Z. Wang, and S. Wei (2010) “Give credit where credit is due: tracing value added in gloabal production chais”, </w:t>
      </w:r>
      <w:r w:rsidRPr="00047C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NBER Working paper 16426</w:t>
      </w: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9" w:history="1">
        <w:r w:rsidRPr="00047CED">
          <w:rPr>
            <w:rStyle w:val="a5"/>
            <w:rFonts w:ascii="Times New Roman" w:hAnsi="Times New Roman" w:cs="Times New Roman"/>
            <w:kern w:val="0"/>
            <w:sz w:val="24"/>
            <w:szCs w:val="24"/>
          </w:rPr>
          <w:t>http://www.nber.org/papers/w16426</w:t>
        </w:r>
      </w:hyperlink>
    </w:p>
    <w:p w14:paraId="2675E3EE" w14:textId="4723A23D" w:rsidR="00DD5899" w:rsidRPr="00047CED" w:rsidRDefault="00DD5899" w:rsidP="00047CED">
      <w:pPr>
        <w:pStyle w:val="a8"/>
        <w:widowControl/>
        <w:numPr>
          <w:ilvl w:val="0"/>
          <w:numId w:val="4"/>
        </w:numPr>
        <w:wordWrap/>
        <w:autoSpaceDE/>
        <w:autoSpaceDN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CED">
        <w:rPr>
          <w:rFonts w:ascii="Times New Roman" w:hAnsi="Times New Roman" w:cs="Times New Roman"/>
          <w:sz w:val="24"/>
          <w:szCs w:val="24"/>
        </w:rPr>
        <w:t xml:space="preserve">Koopman, R., Z. Wang and S.-J. Wei (2014), “Tracing value-added and double counting in gross exports”, </w:t>
      </w:r>
      <w:r w:rsidRPr="00047CED">
        <w:rPr>
          <w:rFonts w:ascii="Times New Roman" w:hAnsi="Times New Roman" w:cs="Times New Roman"/>
          <w:i/>
          <w:sz w:val="24"/>
          <w:szCs w:val="24"/>
        </w:rPr>
        <w:t>American Economic Review</w:t>
      </w:r>
      <w:r w:rsidRPr="00047CED">
        <w:rPr>
          <w:rFonts w:ascii="Times New Roman" w:hAnsi="Times New Roman" w:cs="Times New Roman"/>
          <w:sz w:val="24"/>
          <w:szCs w:val="24"/>
        </w:rPr>
        <w:t xml:space="preserve">, Vol. 104/2, pp. 459-494. </w:t>
      </w:r>
      <w:hyperlink r:id="rId10" w:history="1">
        <w:r w:rsidRPr="00047CED">
          <w:rPr>
            <w:rStyle w:val="a5"/>
            <w:rFonts w:ascii="Times New Roman" w:hAnsi="Times New Roman" w:cs="Times New Roman"/>
            <w:sz w:val="24"/>
            <w:szCs w:val="24"/>
          </w:rPr>
          <w:t>http://dx.doi.org/10.1257/aer.104.2.459</w:t>
        </w:r>
      </w:hyperlink>
    </w:p>
    <w:p w14:paraId="69FE4A49" w14:textId="47D5FD47" w:rsidR="00D24593" w:rsidRPr="00047CED" w:rsidRDefault="00D24593" w:rsidP="00047CED">
      <w:pPr>
        <w:pStyle w:val="a8"/>
        <w:numPr>
          <w:ilvl w:val="0"/>
          <w:numId w:val="3"/>
        </w:num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Johnson, R. and G. Noguera (2017) “A Portrait of Trade in Value-Added over Four Decades”, </w:t>
      </w:r>
      <w:r w:rsidRPr="00047C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 Review of Economics and Statistics, Vol.99, Issue 5,</w:t>
      </w: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896-911</w:t>
      </w:r>
    </w:p>
    <w:p w14:paraId="63B2039A" w14:textId="6B2BEF9C" w:rsidR="00047CED" w:rsidRPr="00047CED" w:rsidRDefault="00047CED" w:rsidP="00047CED">
      <w:pPr>
        <w:pStyle w:val="a8"/>
        <w:widowControl/>
        <w:numPr>
          <w:ilvl w:val="0"/>
          <w:numId w:val="3"/>
        </w:numPr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047CED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Andrenelli, A. et al. (2019-04-25), “Micro-Evidence on Corporate Relationships in Global Value Chains: The Role of Trade, FDI and Strategic Partnerships”, OECD Trade Policy Papers, No. 227, OECD Publishing, Paris. http://dx.doi.org/10.1787/f6225ffb-en</w:t>
      </w:r>
    </w:p>
    <w:p w14:paraId="3D6F0861" w14:textId="1A1FC6A7" w:rsidR="00DD5899" w:rsidRPr="00047CED" w:rsidRDefault="00DD5899" w:rsidP="00047CED">
      <w:pPr>
        <w:pStyle w:val="read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CED">
        <w:rPr>
          <w:rFonts w:ascii="Times New Roman" w:hAnsi="Times New Roman" w:cs="Times New Roman"/>
          <w:sz w:val="24"/>
          <w:szCs w:val="24"/>
        </w:rPr>
        <w:t xml:space="preserve">Blanchard, E., C. Bown and R. Johnson (2016), “Global supply chains and trade policy”, World Bank Policy Research Paper, No. 7536, The World Bank. </w:t>
      </w:r>
      <w:hyperlink r:id="rId11" w:history="1">
        <w:r w:rsidRPr="00047CED">
          <w:rPr>
            <w:rStyle w:val="a5"/>
            <w:rFonts w:ascii="Times New Roman" w:hAnsi="Times New Roman" w:cs="Times New Roman"/>
            <w:sz w:val="24"/>
            <w:szCs w:val="24"/>
          </w:rPr>
          <w:t>http://documents.worldbank.org/curated/en/2016/01/25801220/global-supply-chains-trade-policy</w:t>
        </w:r>
      </w:hyperlink>
    </w:p>
    <w:p w14:paraId="78877C10" w14:textId="77777777" w:rsidR="00D24593" w:rsidRPr="00047CED" w:rsidRDefault="00D24593" w:rsidP="00047CED">
      <w:pPr>
        <w:pStyle w:val="a8"/>
        <w:numPr>
          <w:ilvl w:val="0"/>
          <w:numId w:val="3"/>
        </w:numPr>
        <w:wordWrap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47CED">
        <w:rPr>
          <w:rFonts w:ascii="Times New Roman" w:hAnsi="Times New Roman" w:cs="Times New Roman"/>
          <w:sz w:val="24"/>
          <w:szCs w:val="24"/>
        </w:rPr>
        <w:t>Miroudot, S. and C. Cadestin (2017), “Services in Global Value Chains: From Inputs to Value-Creating Activities”, OECD Trade Policy Papers, No. 197, OECD Publishing.</w:t>
      </w:r>
    </w:p>
    <w:p w14:paraId="141EA7A0" w14:textId="77777777" w:rsidR="00520813" w:rsidRPr="00047CED" w:rsidRDefault="00520813" w:rsidP="00047CED">
      <w:pPr>
        <w:pStyle w:val="a8"/>
        <w:numPr>
          <w:ilvl w:val="0"/>
          <w:numId w:val="3"/>
        </w:num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Urata, S. and Y. Baek (2021) “Does GVC participation improve firm productivity? A study of three developing Asian coutires”, ADB Working paper series, ADB Institute. </w:t>
      </w:r>
    </w:p>
    <w:p w14:paraId="7DFBEAA3" w14:textId="2650A77F" w:rsidR="00D24593" w:rsidRPr="00047CED" w:rsidRDefault="007D3617" w:rsidP="00047CED">
      <w:pPr>
        <w:pStyle w:val="a8"/>
        <w:numPr>
          <w:ilvl w:val="0"/>
          <w:numId w:val="3"/>
        </w:num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CED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shd w:val="clear" w:color="auto" w:fill="FFFFFF"/>
          <w:lang w:eastAsia="en-US"/>
        </w:rPr>
        <w:t>Asian Development Bank Institute. </w:t>
      </w:r>
      <w:r w:rsidRPr="00047CED">
        <w:rPr>
          <w:rFonts w:ascii="Times New Roman" w:eastAsia="Times New Roman" w:hAnsi="Times New Roman" w:cs="Times New Roman"/>
          <w:i/>
          <w:iCs/>
          <w:color w:val="000000"/>
          <w:spacing w:val="-5"/>
          <w:kern w:val="0"/>
          <w:sz w:val="24"/>
          <w:szCs w:val="24"/>
          <w:shd w:val="clear" w:color="auto" w:fill="FFFFFF"/>
          <w:lang w:eastAsia="en-US"/>
        </w:rPr>
        <w:t>Integrating SMEs into Global Value Chains: Challenges and Policy Actions in Asia</w:t>
      </w:r>
      <w:r w:rsidRPr="00047CED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shd w:val="clear" w:color="auto" w:fill="FFFFFF"/>
          <w:lang w:eastAsia="en-US"/>
        </w:rPr>
        <w:t>. Brookings Institution Press, 2015. </w:t>
      </w:r>
      <w:r w:rsidRPr="00047CED">
        <w:rPr>
          <w:rFonts w:ascii="Times New Roman" w:eastAsia="Times New Roman" w:hAnsi="Times New Roman" w:cs="Times New Roman"/>
          <w:i/>
          <w:iCs/>
          <w:color w:val="000000"/>
          <w:spacing w:val="-5"/>
          <w:kern w:val="0"/>
          <w:sz w:val="24"/>
          <w:szCs w:val="24"/>
          <w:shd w:val="clear" w:color="auto" w:fill="FFFFFF"/>
          <w:lang w:eastAsia="en-US"/>
        </w:rPr>
        <w:t>JSTOR</w:t>
      </w:r>
      <w:r w:rsidRPr="00047CED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shd w:val="clear" w:color="auto" w:fill="FFFFFF"/>
          <w:lang w:eastAsia="en-US"/>
        </w:rPr>
        <w:t xml:space="preserve">, </w:t>
      </w:r>
      <w:hyperlink r:id="rId12" w:history="1">
        <w:r w:rsidRPr="00047CED">
          <w:rPr>
            <w:rStyle w:val="a5"/>
            <w:rFonts w:ascii="Times New Roman" w:eastAsia="Times New Roman" w:hAnsi="Times New Roman" w:cs="Times New Roman"/>
            <w:spacing w:val="-5"/>
            <w:kern w:val="0"/>
            <w:sz w:val="24"/>
            <w:szCs w:val="24"/>
            <w:shd w:val="clear" w:color="auto" w:fill="FFFFFF"/>
            <w:lang w:eastAsia="en-US"/>
          </w:rPr>
          <w:t>www.jstor.org/stable/10.7864/j.ctt1dgn5z1</w:t>
        </w:r>
      </w:hyperlink>
    </w:p>
    <w:p w14:paraId="6E33778B" w14:textId="55EC7840" w:rsidR="00D24593" w:rsidRPr="00047CED" w:rsidRDefault="00DF225E" w:rsidP="00047CED">
      <w:pPr>
        <w:pStyle w:val="a8"/>
        <w:numPr>
          <w:ilvl w:val="0"/>
          <w:numId w:val="3"/>
        </w:num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>De Backer, K. and D. Flaig (2017), "The future of global value chains: Business as usual or “a new normal”?", </w:t>
      </w:r>
      <w:r w:rsidRPr="00047C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OECD Science, Technology and Industry Policy Papers</w:t>
      </w:r>
      <w:r w:rsidRPr="00047C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No. 41</w:t>
      </w:r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>, OECD Publishing, Paris, </w:t>
      </w:r>
      <w:hyperlink r:id="rId13" w:history="1">
        <w:r w:rsidR="00D24593" w:rsidRPr="00047CE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https://doi.org/10.1787/d8da8760-en</w:t>
        </w:r>
      </w:hyperlink>
      <w:r w:rsidRPr="00047C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7DF4B9" w14:textId="77777777" w:rsidR="00D24593" w:rsidRPr="00047CED" w:rsidRDefault="00D24593" w:rsidP="00047CED">
      <w:p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B8E10" w14:textId="77777777" w:rsidR="00DF225E" w:rsidRDefault="00DF225E" w:rsidP="00DE5686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C85878B" w14:textId="04CA7FD8" w:rsidR="005904C6" w:rsidRDefault="005904C6" w:rsidP="005904C6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evaluations</w:t>
      </w:r>
    </w:p>
    <w:p w14:paraId="29ADEA1D" w14:textId="64265DAE" w:rsidR="005904C6" w:rsidRDefault="005904C6" w:rsidP="00431F45">
      <w:pPr>
        <w:wordWrap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31F45">
        <w:rPr>
          <w:rFonts w:ascii="Times New Roman" w:hAnsi="Times New Roman" w:cs="Times New Roman"/>
          <w:sz w:val="24"/>
          <w:szCs w:val="24"/>
        </w:rPr>
        <w:t xml:space="preserve">There will be one final exam and </w:t>
      </w:r>
      <w:r w:rsidR="00A87642">
        <w:rPr>
          <w:rFonts w:ascii="Times New Roman" w:hAnsi="Times New Roman" w:cs="Times New Roman"/>
          <w:sz w:val="24"/>
          <w:szCs w:val="24"/>
        </w:rPr>
        <w:t xml:space="preserve">a minimum of </w:t>
      </w:r>
      <w:r w:rsidRPr="00431F45">
        <w:rPr>
          <w:rFonts w:ascii="Times New Roman" w:hAnsi="Times New Roman" w:cs="Times New Roman"/>
          <w:sz w:val="24"/>
          <w:szCs w:val="24"/>
        </w:rPr>
        <w:t xml:space="preserve">in-class presentations. </w:t>
      </w:r>
      <w:r w:rsidR="00A87642">
        <w:rPr>
          <w:rFonts w:ascii="Times New Roman" w:hAnsi="Times New Roman" w:cs="Times New Roman"/>
          <w:sz w:val="24"/>
          <w:szCs w:val="24"/>
        </w:rPr>
        <w:t>In addition</w:t>
      </w:r>
      <w:r w:rsidR="00DC688F" w:rsidRPr="00431F45">
        <w:rPr>
          <w:rFonts w:ascii="Times New Roman" w:hAnsi="Times New Roman" w:cs="Times New Roman"/>
          <w:sz w:val="24"/>
          <w:szCs w:val="24"/>
        </w:rPr>
        <w:t xml:space="preserve">, students will have three homework assignments </w:t>
      </w:r>
      <w:r w:rsidR="00181F16" w:rsidRPr="00431F45">
        <w:rPr>
          <w:rFonts w:ascii="Times New Roman" w:hAnsi="Times New Roman" w:cs="Times New Roman"/>
          <w:sz w:val="24"/>
          <w:szCs w:val="24"/>
        </w:rPr>
        <w:t xml:space="preserve">due </w:t>
      </w:r>
      <w:r w:rsidR="00A87642">
        <w:rPr>
          <w:rFonts w:ascii="Times New Roman" w:hAnsi="Times New Roman" w:cs="Times New Roman"/>
          <w:sz w:val="24"/>
          <w:szCs w:val="24"/>
        </w:rPr>
        <w:t>within one week</w:t>
      </w:r>
      <w:r w:rsidRPr="00431F45">
        <w:rPr>
          <w:rFonts w:ascii="Times New Roman" w:hAnsi="Times New Roman" w:cs="Times New Roman"/>
          <w:sz w:val="24"/>
          <w:szCs w:val="24"/>
        </w:rPr>
        <w:t>.</w:t>
      </w:r>
      <w:r w:rsidR="00181F16" w:rsidRPr="00431F45">
        <w:rPr>
          <w:rFonts w:ascii="Times New Roman" w:hAnsi="Times New Roman" w:cs="Times New Roman"/>
          <w:sz w:val="24"/>
          <w:szCs w:val="24"/>
        </w:rPr>
        <w:t xml:space="preserve"> </w:t>
      </w:r>
      <w:r w:rsidR="00431F45" w:rsidRPr="00431F45">
        <w:rPr>
          <w:rFonts w:ascii="Times New Roman" w:hAnsi="Times New Roman" w:cs="Times New Roman"/>
          <w:kern w:val="0"/>
          <w:sz w:val="24"/>
          <w:szCs w:val="24"/>
        </w:rPr>
        <w:t xml:space="preserve">Assignments are designed to </w:t>
      </w:r>
      <w:r w:rsidR="00431F45" w:rsidRPr="00431F45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help students learn statistical software, analyze the outputs, and report the findings in </w:t>
      </w:r>
      <w:r w:rsidR="00A87642">
        <w:rPr>
          <w:rFonts w:ascii="Times New Roman" w:hAnsi="Times New Roman" w:cs="Times New Roman"/>
          <w:kern w:val="0"/>
          <w:sz w:val="24"/>
          <w:szCs w:val="24"/>
        </w:rPr>
        <w:t>a</w:t>
      </w:r>
      <w:r w:rsidR="00431F45" w:rsidRPr="00431F45">
        <w:rPr>
          <w:rFonts w:ascii="Times New Roman" w:hAnsi="Times New Roman" w:cs="Times New Roman"/>
          <w:kern w:val="0"/>
          <w:sz w:val="24"/>
          <w:szCs w:val="24"/>
        </w:rPr>
        <w:t xml:space="preserve"> typical academic writing style. Datasets and details for the assignments will be provided in the class. </w:t>
      </w:r>
      <w:r w:rsidR="00A87642">
        <w:rPr>
          <w:rFonts w:ascii="Times New Roman" w:hAnsi="Times New Roman" w:cs="Times New Roman"/>
          <w:kern w:val="0"/>
          <w:sz w:val="24"/>
          <w:szCs w:val="24"/>
        </w:rPr>
        <w:t>C</w:t>
      </w:r>
      <w:r w:rsidR="00431F45">
        <w:rPr>
          <w:rFonts w:ascii="Times New Roman" w:hAnsi="Times New Roman" w:cs="Times New Roman"/>
          <w:kern w:val="0"/>
          <w:sz w:val="24"/>
          <w:szCs w:val="24"/>
        </w:rPr>
        <w:t xml:space="preserve">omposition of evaluation </w:t>
      </w:r>
      <w:r w:rsidR="00A87642">
        <w:rPr>
          <w:rFonts w:ascii="Times New Roman" w:hAnsi="Times New Roman" w:cs="Times New Roman"/>
          <w:kern w:val="0"/>
          <w:sz w:val="24"/>
          <w:szCs w:val="24"/>
        </w:rPr>
        <w:t xml:space="preserve">is </w:t>
      </w:r>
      <w:r w:rsidR="00431F45">
        <w:rPr>
          <w:rFonts w:ascii="Times New Roman" w:hAnsi="Times New Roman" w:cs="Times New Roman"/>
          <w:kern w:val="0"/>
          <w:sz w:val="24"/>
          <w:szCs w:val="24"/>
        </w:rPr>
        <w:t>as follows:</w:t>
      </w:r>
    </w:p>
    <w:p w14:paraId="0897D158" w14:textId="77777777" w:rsidR="00431F45" w:rsidRPr="00431F45" w:rsidRDefault="00431F45" w:rsidP="00431F45">
      <w:p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B35E0" w14:textId="6D913017" w:rsidR="005904C6" w:rsidRPr="00DD5899" w:rsidRDefault="00181F16" w:rsidP="00DD5899">
      <w:pPr>
        <w:pStyle w:val="a8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5899">
        <w:rPr>
          <w:rFonts w:ascii="Times New Roman" w:hAnsi="Times New Roman" w:cs="Times New Roman"/>
          <w:sz w:val="24"/>
          <w:szCs w:val="24"/>
        </w:rPr>
        <w:t>Assignments 3</w:t>
      </w:r>
      <w:r w:rsidR="005904C6" w:rsidRPr="00DD5899">
        <w:rPr>
          <w:rFonts w:ascii="Times New Roman" w:hAnsi="Times New Roman" w:cs="Times New Roman"/>
          <w:sz w:val="24"/>
          <w:szCs w:val="24"/>
        </w:rPr>
        <w:t xml:space="preserve">0% (Data management </w:t>
      </w:r>
      <w:r w:rsidRPr="00DD5899">
        <w:rPr>
          <w:rFonts w:ascii="Times New Roman" w:hAnsi="Times New Roman" w:cs="Times New Roman"/>
          <w:sz w:val="24"/>
          <w:szCs w:val="24"/>
        </w:rPr>
        <w:t>and analysis using Stata</w:t>
      </w:r>
      <w:r w:rsidR="005904C6" w:rsidRPr="00DD5899">
        <w:rPr>
          <w:rFonts w:ascii="Times New Roman" w:hAnsi="Times New Roman" w:cs="Times New Roman"/>
          <w:sz w:val="24"/>
          <w:szCs w:val="24"/>
        </w:rPr>
        <w:t>)</w:t>
      </w:r>
    </w:p>
    <w:p w14:paraId="4E4B69A2" w14:textId="77777777" w:rsidR="00DD5899" w:rsidRPr="00DD5899" w:rsidRDefault="00DD5899" w:rsidP="00DD5899">
      <w:pPr>
        <w:pStyle w:val="a8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5899">
        <w:rPr>
          <w:rFonts w:ascii="Times New Roman" w:hAnsi="Times New Roman" w:cs="Times New Roman"/>
          <w:sz w:val="24"/>
          <w:szCs w:val="24"/>
        </w:rPr>
        <w:t>In-class presentations 30%</w:t>
      </w:r>
    </w:p>
    <w:p w14:paraId="56FAC62A" w14:textId="2FE5479C" w:rsidR="00DD5899" w:rsidRDefault="00DD5899" w:rsidP="00DD5899">
      <w:pPr>
        <w:pStyle w:val="a8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exam 30%</w:t>
      </w:r>
    </w:p>
    <w:p w14:paraId="3E9A6AF9" w14:textId="77777777" w:rsidR="00DD5899" w:rsidRPr="00DD5899" w:rsidRDefault="00DD5899" w:rsidP="00DD5899">
      <w:pPr>
        <w:pStyle w:val="a8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5899">
        <w:rPr>
          <w:rFonts w:ascii="Times New Roman" w:hAnsi="Times New Roman" w:cs="Times New Roman"/>
          <w:sz w:val="24"/>
          <w:szCs w:val="24"/>
        </w:rPr>
        <w:t>Attendance and participation 10%</w:t>
      </w:r>
    </w:p>
    <w:p w14:paraId="3DBC8B09" w14:textId="77777777" w:rsidR="00576494" w:rsidRDefault="00576494" w:rsidP="00DE5686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4391012" w14:textId="11885728" w:rsidR="00D46861" w:rsidRDefault="00D46861" w:rsidP="00DE5686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schedule </w:t>
      </w:r>
    </w:p>
    <w:tbl>
      <w:tblPr>
        <w:tblStyle w:val="a6"/>
        <w:tblW w:w="89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1498"/>
        <w:gridCol w:w="4860"/>
        <w:gridCol w:w="1530"/>
      </w:tblGrid>
      <w:tr w:rsidR="00726ED8" w14:paraId="6FF282B9" w14:textId="05EF562E" w:rsidTr="00726ED8">
        <w:tc>
          <w:tcPr>
            <w:tcW w:w="1040" w:type="dxa"/>
            <w:shd w:val="clear" w:color="auto" w:fill="CCCCCC"/>
          </w:tcPr>
          <w:p w14:paraId="197D826B" w14:textId="0A4D64C7" w:rsidR="00726ED8" w:rsidRDefault="00726ED8" w:rsidP="0024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498" w:type="dxa"/>
            <w:shd w:val="clear" w:color="auto" w:fill="CCCCCC"/>
          </w:tcPr>
          <w:p w14:paraId="7F0104CE" w14:textId="561FCBC2" w:rsidR="00726ED8" w:rsidRDefault="00726ED8" w:rsidP="0024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860" w:type="dxa"/>
            <w:shd w:val="clear" w:color="auto" w:fill="CCCCCC"/>
          </w:tcPr>
          <w:p w14:paraId="65224D0B" w14:textId="1CD8A46D" w:rsidR="00726ED8" w:rsidRDefault="00726ED8" w:rsidP="0024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1530" w:type="dxa"/>
            <w:shd w:val="clear" w:color="auto" w:fill="CCCCCC"/>
          </w:tcPr>
          <w:p w14:paraId="49C9C5C7" w14:textId="0C2AFF39" w:rsidR="00726ED8" w:rsidRDefault="00726ED8" w:rsidP="0024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</w:t>
            </w:r>
          </w:p>
        </w:tc>
      </w:tr>
      <w:tr w:rsidR="00726ED8" w14:paraId="7122F00B" w14:textId="5CB53D6E" w:rsidTr="00726ED8">
        <w:tc>
          <w:tcPr>
            <w:tcW w:w="1040" w:type="dxa"/>
          </w:tcPr>
          <w:p w14:paraId="458DEA58" w14:textId="3E289FFF" w:rsidR="00726ED8" w:rsidRPr="002435D3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14:paraId="7064049D" w14:textId="33C87152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9. 3</w:t>
            </w:r>
          </w:p>
        </w:tc>
        <w:tc>
          <w:tcPr>
            <w:tcW w:w="4860" w:type="dxa"/>
          </w:tcPr>
          <w:p w14:paraId="4811E249" w14:textId="0088CCE1" w:rsidR="00726ED8" w:rsidRPr="00EC6658" w:rsidRDefault="00726ED8" w:rsidP="00005523">
            <w:pPr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58">
              <w:rPr>
                <w:rFonts w:ascii="Times New Roman" w:hAnsi="Times New Roman" w:cs="Times New Roman"/>
                <w:sz w:val="24"/>
                <w:szCs w:val="24"/>
              </w:rPr>
              <w:t>Global Value Chains: background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developm</w:t>
            </w:r>
            <w:r w:rsidRPr="00EC66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C6658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530" w:type="dxa"/>
          </w:tcPr>
          <w:p w14:paraId="30029282" w14:textId="77777777" w:rsidR="00726ED8" w:rsidRPr="00EC6658" w:rsidRDefault="00726ED8" w:rsidP="00DD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D8" w14:paraId="47C1D327" w14:textId="6DBB4E21" w:rsidTr="00726ED8">
        <w:tc>
          <w:tcPr>
            <w:tcW w:w="1040" w:type="dxa"/>
          </w:tcPr>
          <w:p w14:paraId="645FDAEB" w14:textId="378ECE88" w:rsidR="00726ED8" w:rsidRPr="002435D3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14:paraId="4C5E4C33" w14:textId="2BB026BD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9. 10</w:t>
            </w:r>
          </w:p>
        </w:tc>
        <w:tc>
          <w:tcPr>
            <w:tcW w:w="4860" w:type="dxa"/>
          </w:tcPr>
          <w:p w14:paraId="589E30C5" w14:textId="05192503" w:rsidR="00726ED8" w:rsidRPr="00D703AA" w:rsidRDefault="00726ED8" w:rsidP="00005523">
            <w:pPr>
              <w:jc w:val="center"/>
              <w:rPr>
                <w:rFonts w:ascii="바탕" w:eastAsia="바탕" w:hAnsi="바탕" w:cs="바탕"/>
                <w:sz w:val="24"/>
                <w:szCs w:val="24"/>
                <w:shd w:val="clear" w:color="auto" w:fill="FFFFFF"/>
              </w:rPr>
            </w:pPr>
            <w:r>
              <w:rPr>
                <w:rFonts w:ascii="바탕" w:eastAsia="바탕" w:hAnsi="바탕" w:cs="바탕"/>
                <w:sz w:val="24"/>
                <w:szCs w:val="24"/>
                <w:shd w:val="clear" w:color="auto" w:fill="FFFFFF"/>
              </w:rPr>
              <w:t>Trade in value-added</w:t>
            </w:r>
          </w:p>
        </w:tc>
        <w:tc>
          <w:tcPr>
            <w:tcW w:w="1530" w:type="dxa"/>
          </w:tcPr>
          <w:p w14:paraId="45B13E13" w14:textId="77777777" w:rsidR="00726ED8" w:rsidRDefault="00726ED8" w:rsidP="00DD3365">
            <w:pPr>
              <w:jc w:val="center"/>
              <w:rPr>
                <w:rFonts w:ascii="바탕" w:eastAsia="바탕" w:hAnsi="바탕" w:cs="바탕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5C6E6AEC" w14:textId="3BA742EF" w:rsidTr="00726ED8">
        <w:tc>
          <w:tcPr>
            <w:tcW w:w="1040" w:type="dxa"/>
          </w:tcPr>
          <w:p w14:paraId="71CE53FC" w14:textId="7C960986" w:rsidR="00726ED8" w:rsidRPr="002435D3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14:paraId="1378DC11" w14:textId="1FCAF33C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9. 17</w:t>
            </w:r>
          </w:p>
        </w:tc>
        <w:tc>
          <w:tcPr>
            <w:tcW w:w="4860" w:type="dxa"/>
          </w:tcPr>
          <w:p w14:paraId="1E9F32D9" w14:textId="593FD5D6" w:rsidR="00726ED8" w:rsidRPr="00DD3365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Production fragmentation and foreign investments</w:t>
            </w:r>
          </w:p>
        </w:tc>
        <w:tc>
          <w:tcPr>
            <w:tcW w:w="1530" w:type="dxa"/>
          </w:tcPr>
          <w:p w14:paraId="1ABF911C" w14:textId="77777777" w:rsidR="00726ED8" w:rsidRDefault="00726ED8" w:rsidP="00DD33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53A119A1" w14:textId="422EA12F" w:rsidTr="00726ED8">
        <w:tc>
          <w:tcPr>
            <w:tcW w:w="1040" w:type="dxa"/>
          </w:tcPr>
          <w:p w14:paraId="1308D380" w14:textId="22F85CE2" w:rsidR="00726ED8" w:rsidRPr="002435D3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54A6A154" w14:textId="47E1FEB7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9. 24</w:t>
            </w:r>
          </w:p>
        </w:tc>
        <w:tc>
          <w:tcPr>
            <w:tcW w:w="4860" w:type="dxa"/>
          </w:tcPr>
          <w:p w14:paraId="1787E677" w14:textId="00FB46D1" w:rsidR="00726ED8" w:rsidRPr="00DD3365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GVCs related trade policy and trade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agreements</w:t>
            </w:r>
          </w:p>
        </w:tc>
        <w:tc>
          <w:tcPr>
            <w:tcW w:w="1530" w:type="dxa"/>
          </w:tcPr>
          <w:p w14:paraId="11EA62E4" w14:textId="77777777" w:rsidR="00726ED8" w:rsidRPr="00D659DA" w:rsidRDefault="00726ED8" w:rsidP="00DD33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629B7ADB" w14:textId="67E07DFF" w:rsidTr="00726ED8">
        <w:tc>
          <w:tcPr>
            <w:tcW w:w="1040" w:type="dxa"/>
          </w:tcPr>
          <w:p w14:paraId="66610A61" w14:textId="2D0FFFAD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14:paraId="33D823B9" w14:textId="43F59BFB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10. 1</w:t>
            </w:r>
          </w:p>
        </w:tc>
        <w:tc>
          <w:tcPr>
            <w:tcW w:w="4860" w:type="dxa"/>
          </w:tcPr>
          <w:p w14:paraId="05DF4D0C" w14:textId="21A9F3E9" w:rsidR="00726ED8" w:rsidRPr="00DD3365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Estimating GVCs using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input-output </w:t>
            </w: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data: WIOD, OECD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TiVA</w:t>
            </w: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data, MRIO data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etc</w:t>
            </w: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14:paraId="2A4E902E" w14:textId="31186D2F" w:rsidR="00726ED8" w:rsidRPr="00D659DA" w:rsidRDefault="00726ED8" w:rsidP="00DD33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Assignment1</w:t>
            </w:r>
          </w:p>
        </w:tc>
      </w:tr>
      <w:tr w:rsidR="00726ED8" w14:paraId="7796DD5E" w14:textId="22FE07CF" w:rsidTr="00726ED8">
        <w:tc>
          <w:tcPr>
            <w:tcW w:w="1040" w:type="dxa"/>
          </w:tcPr>
          <w:p w14:paraId="01C517ED" w14:textId="59D064D1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14:paraId="013395F3" w14:textId="406DBC6F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10. 8</w:t>
            </w:r>
          </w:p>
        </w:tc>
        <w:tc>
          <w:tcPr>
            <w:tcW w:w="4860" w:type="dxa"/>
          </w:tcPr>
          <w:p w14:paraId="330C3D42" w14:textId="3403F6F0" w:rsidR="00726ED8" w:rsidRPr="002D1AAB" w:rsidRDefault="00726ED8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Estimating GVCs using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trade data</w:t>
            </w:r>
            <w:r w:rsidRPr="00D6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 Comtrade, BEC codes</w:t>
            </w:r>
          </w:p>
        </w:tc>
        <w:tc>
          <w:tcPr>
            <w:tcW w:w="1530" w:type="dxa"/>
          </w:tcPr>
          <w:p w14:paraId="067E548A" w14:textId="77777777" w:rsidR="00726ED8" w:rsidRPr="00D659DA" w:rsidRDefault="00726ED8" w:rsidP="0025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12FCE0EB" w14:textId="377DD86C" w:rsidTr="00726ED8">
        <w:tc>
          <w:tcPr>
            <w:tcW w:w="1040" w:type="dxa"/>
          </w:tcPr>
          <w:p w14:paraId="71B74862" w14:textId="589BA8C7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</w:tcPr>
          <w:p w14:paraId="1F60C91F" w14:textId="33D0AFC4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10. 15</w:t>
            </w:r>
          </w:p>
        </w:tc>
        <w:tc>
          <w:tcPr>
            <w:tcW w:w="4860" w:type="dxa"/>
          </w:tcPr>
          <w:p w14:paraId="5F1064EE" w14:textId="2F45BE01" w:rsidR="00726ED8" w:rsidRPr="00DD3365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Firm’s participation in GVCs and productivity</w:t>
            </w:r>
          </w:p>
        </w:tc>
        <w:tc>
          <w:tcPr>
            <w:tcW w:w="1530" w:type="dxa"/>
          </w:tcPr>
          <w:p w14:paraId="71E47A1A" w14:textId="02A6725C" w:rsidR="00726ED8" w:rsidRPr="00D703AA" w:rsidRDefault="00726ED8" w:rsidP="00DD33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50619272" w14:textId="652D3399" w:rsidTr="00726ED8">
        <w:tc>
          <w:tcPr>
            <w:tcW w:w="1040" w:type="dxa"/>
          </w:tcPr>
          <w:p w14:paraId="10CF43BD" w14:textId="66A6C19E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</w:tcPr>
          <w:p w14:paraId="7A666407" w14:textId="67F3B45D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10. 22</w:t>
            </w:r>
          </w:p>
        </w:tc>
        <w:tc>
          <w:tcPr>
            <w:tcW w:w="4860" w:type="dxa"/>
          </w:tcPr>
          <w:p w14:paraId="45184D7D" w14:textId="652979ED" w:rsidR="00726ED8" w:rsidRPr="00BC24D1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Presentations and discussions</w:t>
            </w:r>
          </w:p>
        </w:tc>
        <w:tc>
          <w:tcPr>
            <w:tcW w:w="1530" w:type="dxa"/>
          </w:tcPr>
          <w:p w14:paraId="1221740A" w14:textId="467DD9B6" w:rsidR="00726ED8" w:rsidRDefault="001971FC" w:rsidP="002435D3">
            <w:pPr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Assignment2</w:t>
            </w:r>
          </w:p>
        </w:tc>
      </w:tr>
      <w:tr w:rsidR="00726ED8" w14:paraId="2A8729A8" w14:textId="286D55FD" w:rsidTr="00726ED8">
        <w:tc>
          <w:tcPr>
            <w:tcW w:w="1040" w:type="dxa"/>
          </w:tcPr>
          <w:p w14:paraId="7C8643B9" w14:textId="4BE27F87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5E0FAC1" w14:textId="623DA25B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10. 2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14:paraId="6300A357" w14:textId="1D64553A" w:rsidR="00726ED8" w:rsidRPr="00D703AA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class</w:t>
            </w:r>
          </w:p>
        </w:tc>
        <w:tc>
          <w:tcPr>
            <w:tcW w:w="1530" w:type="dxa"/>
          </w:tcPr>
          <w:p w14:paraId="058880CA" w14:textId="77777777" w:rsidR="00726ED8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6ABF411D" w14:textId="60C1697F" w:rsidTr="00726ED8">
        <w:tc>
          <w:tcPr>
            <w:tcW w:w="1040" w:type="dxa"/>
          </w:tcPr>
          <w:p w14:paraId="2754FAF5" w14:textId="39C26F05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</w:tcPr>
          <w:p w14:paraId="022C4F37" w14:textId="2D69E0AD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860" w:type="dxa"/>
          </w:tcPr>
          <w:p w14:paraId="78E7AC05" w14:textId="2B26722B" w:rsidR="00726ED8" w:rsidRPr="00D703AA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Servicification of manufacturing</w:t>
            </w:r>
          </w:p>
        </w:tc>
        <w:tc>
          <w:tcPr>
            <w:tcW w:w="1530" w:type="dxa"/>
          </w:tcPr>
          <w:p w14:paraId="76F91C1A" w14:textId="77777777" w:rsidR="00726ED8" w:rsidRPr="00D703AA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58446C59" w14:textId="4DB81206" w:rsidTr="00726ED8">
        <w:tc>
          <w:tcPr>
            <w:tcW w:w="1040" w:type="dxa"/>
          </w:tcPr>
          <w:p w14:paraId="5B644D9C" w14:textId="7E28A372" w:rsidR="00726ED8" w:rsidRPr="00FD3E37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8" w:type="dxa"/>
          </w:tcPr>
          <w:p w14:paraId="32024904" w14:textId="51DD0C3C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14:paraId="1CB7F526" w14:textId="6552E25E" w:rsidR="00726ED8" w:rsidRPr="00DD3365" w:rsidRDefault="005F7804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GVCs and development (participation of developing economies and SMEs in GVCs)</w:t>
            </w:r>
          </w:p>
        </w:tc>
        <w:tc>
          <w:tcPr>
            <w:tcW w:w="1530" w:type="dxa"/>
          </w:tcPr>
          <w:p w14:paraId="29983E55" w14:textId="77777777" w:rsidR="00726ED8" w:rsidRPr="00D703AA" w:rsidRDefault="00726ED8" w:rsidP="00D703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6ED8" w14:paraId="75ACBD55" w14:textId="509C07AA" w:rsidTr="00726ED8">
        <w:tc>
          <w:tcPr>
            <w:tcW w:w="1040" w:type="dxa"/>
          </w:tcPr>
          <w:p w14:paraId="0721B15E" w14:textId="14447F9E" w:rsidR="00726ED8" w:rsidRPr="00FD3E37" w:rsidRDefault="00726ED8" w:rsidP="00C5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14:paraId="329E0B16" w14:textId="282B4D43" w:rsidR="00726ED8" w:rsidRPr="00137244" w:rsidRDefault="00726ED8" w:rsidP="00C5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11. 1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14:paraId="741C1DB6" w14:textId="0E011E5F" w:rsidR="00726ED8" w:rsidRPr="00D703AA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and skills in GVCs</w:t>
            </w:r>
          </w:p>
        </w:tc>
        <w:tc>
          <w:tcPr>
            <w:tcW w:w="1530" w:type="dxa"/>
          </w:tcPr>
          <w:p w14:paraId="0CDED4DC" w14:textId="77777777" w:rsidR="00726ED8" w:rsidRDefault="00726ED8" w:rsidP="00D7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D8" w14:paraId="159A397A" w14:textId="2BC9623B" w:rsidTr="00726ED8">
        <w:tc>
          <w:tcPr>
            <w:tcW w:w="1040" w:type="dxa"/>
          </w:tcPr>
          <w:p w14:paraId="2E9D6F36" w14:textId="4E6AE441" w:rsidR="00726ED8" w:rsidRPr="00FD3E37" w:rsidRDefault="00726ED8" w:rsidP="005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14:paraId="68C0267C" w14:textId="4C8DE576" w:rsidR="00726ED8" w:rsidRPr="00137244" w:rsidRDefault="00726ED8" w:rsidP="00C5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11. 26</w:t>
            </w:r>
          </w:p>
        </w:tc>
        <w:tc>
          <w:tcPr>
            <w:tcW w:w="4860" w:type="dxa"/>
          </w:tcPr>
          <w:p w14:paraId="2E9141E8" w14:textId="55E66115" w:rsidR="00726ED8" w:rsidRPr="00D703AA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Recent changes in international trade environments</w:t>
            </w: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5F7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(trade disputes, digitalization, and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COVID-19) and impacts on GVCs</w:t>
            </w:r>
          </w:p>
        </w:tc>
        <w:tc>
          <w:tcPr>
            <w:tcW w:w="1530" w:type="dxa"/>
          </w:tcPr>
          <w:p w14:paraId="67CA3AA3" w14:textId="4EA7C378" w:rsidR="00726ED8" w:rsidRDefault="00726ED8" w:rsidP="00D703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Assignment3</w:t>
            </w:r>
          </w:p>
        </w:tc>
      </w:tr>
      <w:tr w:rsidR="00726ED8" w14:paraId="1F155FF5" w14:textId="54386AD0" w:rsidTr="00726ED8">
        <w:tc>
          <w:tcPr>
            <w:tcW w:w="1040" w:type="dxa"/>
          </w:tcPr>
          <w:p w14:paraId="7B36EC5D" w14:textId="66120665" w:rsidR="00726ED8" w:rsidRPr="00FD3E37" w:rsidRDefault="00726ED8" w:rsidP="005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14:paraId="0516B116" w14:textId="7AA8BB20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12. 3</w:t>
            </w:r>
          </w:p>
        </w:tc>
        <w:tc>
          <w:tcPr>
            <w:tcW w:w="4860" w:type="dxa"/>
          </w:tcPr>
          <w:p w14:paraId="529451DD" w14:textId="7B20F38C" w:rsidR="00726ED8" w:rsidRPr="00D703AA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Presentations and discussions</w:t>
            </w:r>
          </w:p>
        </w:tc>
        <w:tc>
          <w:tcPr>
            <w:tcW w:w="1530" w:type="dxa"/>
          </w:tcPr>
          <w:p w14:paraId="1366811C" w14:textId="77777777" w:rsidR="00726ED8" w:rsidRDefault="00726ED8" w:rsidP="00D703AA">
            <w:pPr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</w:p>
        </w:tc>
      </w:tr>
      <w:tr w:rsidR="00726ED8" w14:paraId="79008392" w14:textId="5E73D6F4" w:rsidTr="00726ED8">
        <w:tc>
          <w:tcPr>
            <w:tcW w:w="1040" w:type="dxa"/>
          </w:tcPr>
          <w:p w14:paraId="71E7667F" w14:textId="0C30C814" w:rsidR="00726ED8" w:rsidRPr="00FD3E37" w:rsidRDefault="00726ED8" w:rsidP="005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5554021B" w14:textId="361FC3F8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4">
              <w:rPr>
                <w:rFonts w:ascii="Times New Roman" w:hAnsi="Times New Roman" w:cs="Times New Roman"/>
                <w:sz w:val="24"/>
                <w:szCs w:val="24"/>
              </w:rPr>
              <w:t>12. 10</w:t>
            </w:r>
          </w:p>
        </w:tc>
        <w:tc>
          <w:tcPr>
            <w:tcW w:w="4860" w:type="dxa"/>
          </w:tcPr>
          <w:p w14:paraId="12E1BC46" w14:textId="75580577" w:rsidR="00726ED8" w:rsidRPr="00644834" w:rsidRDefault="00726ED8" w:rsidP="00005523">
            <w:pPr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Presentations and discussions</w:t>
            </w:r>
          </w:p>
        </w:tc>
        <w:tc>
          <w:tcPr>
            <w:tcW w:w="1530" w:type="dxa"/>
          </w:tcPr>
          <w:p w14:paraId="1D0A28EF" w14:textId="77777777" w:rsidR="00726ED8" w:rsidRDefault="00726ED8" w:rsidP="00D703AA">
            <w:pPr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</w:p>
        </w:tc>
      </w:tr>
      <w:tr w:rsidR="00726ED8" w14:paraId="6A5F657F" w14:textId="29D10795" w:rsidTr="00726ED8">
        <w:tc>
          <w:tcPr>
            <w:tcW w:w="1040" w:type="dxa"/>
          </w:tcPr>
          <w:p w14:paraId="292CE9D6" w14:textId="0FF956D3" w:rsidR="00726ED8" w:rsidRPr="00FD3E37" w:rsidRDefault="00726ED8" w:rsidP="005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14:paraId="3B138AAA" w14:textId="2D265CB3" w:rsidR="00726ED8" w:rsidRPr="00137244" w:rsidRDefault="00726ED8" w:rsidP="0024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12. 17</w:t>
            </w:r>
          </w:p>
        </w:tc>
        <w:tc>
          <w:tcPr>
            <w:tcW w:w="4860" w:type="dxa"/>
          </w:tcPr>
          <w:p w14:paraId="77BB6004" w14:textId="39B05B0D" w:rsidR="00726ED8" w:rsidRPr="001C5ECF" w:rsidRDefault="00726ED8" w:rsidP="000055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24D1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1530" w:type="dxa"/>
          </w:tcPr>
          <w:p w14:paraId="531C9FCB" w14:textId="77777777" w:rsidR="00726ED8" w:rsidRPr="00BC24D1" w:rsidRDefault="00726ED8" w:rsidP="00D7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6E29A" w14:textId="4534F3FC" w:rsidR="002A0C3E" w:rsidRPr="00965204" w:rsidRDefault="00BC24D1" w:rsidP="009264A0">
      <w:pPr>
        <w:pStyle w:val="a8"/>
        <w:numPr>
          <w:ilvl w:val="0"/>
          <w:numId w:val="2"/>
        </w:numPr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65204">
        <w:rPr>
          <w:rFonts w:ascii="Times New Roman" w:hAnsi="Times New Roman" w:cs="Times New Roman"/>
          <w:b/>
          <w:sz w:val="24"/>
          <w:szCs w:val="24"/>
        </w:rPr>
        <w:t>This schedule</w:t>
      </w:r>
      <w:r w:rsidR="00965204" w:rsidRPr="00965204">
        <w:rPr>
          <w:rFonts w:ascii="Times New Roman" w:hAnsi="Times New Roman" w:cs="Times New Roman"/>
          <w:b/>
          <w:sz w:val="24"/>
          <w:szCs w:val="24"/>
        </w:rPr>
        <w:t xml:space="preserve"> provides only an overview of the course and</w:t>
      </w:r>
      <w:r w:rsidRPr="00965204">
        <w:rPr>
          <w:rFonts w:ascii="Times New Roman" w:hAnsi="Times New Roman" w:cs="Times New Roman"/>
          <w:b/>
          <w:sz w:val="24"/>
          <w:szCs w:val="24"/>
        </w:rPr>
        <w:t xml:space="preserve"> is subject to change.</w:t>
      </w:r>
    </w:p>
    <w:p w14:paraId="13D01BB9" w14:textId="1B80DAB9" w:rsidR="00965204" w:rsidRPr="00965204" w:rsidRDefault="00965204" w:rsidP="00965204">
      <w:pPr>
        <w:pStyle w:val="a8"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2"/>
        </w:rPr>
      </w:pPr>
    </w:p>
    <w:p w14:paraId="762AF324" w14:textId="77777777" w:rsidR="00DF225E" w:rsidRDefault="00DF225E" w:rsidP="00FF747F">
      <w:pPr>
        <w:spacing w:line="240" w:lineRule="auto"/>
        <w:jc w:val="left"/>
        <w:rPr>
          <w:rFonts w:ascii="Times New Roman" w:eastAsia="바탕" w:hAnsi="Times New Roman" w:cs="Times New Roman"/>
          <w:b/>
          <w:sz w:val="24"/>
          <w:szCs w:val="24"/>
        </w:rPr>
      </w:pPr>
    </w:p>
    <w:p w14:paraId="156A458D" w14:textId="56BF27BE" w:rsidR="00FF747F" w:rsidRDefault="00FF747F" w:rsidP="00FF747F">
      <w:pPr>
        <w:spacing w:line="240" w:lineRule="auto"/>
        <w:jc w:val="left"/>
        <w:rPr>
          <w:rFonts w:ascii="Times New Roman" w:eastAsia="바탕" w:hAnsi="Times New Roman" w:cs="Times New Roman"/>
          <w:b/>
          <w:sz w:val="24"/>
          <w:szCs w:val="24"/>
        </w:rPr>
      </w:pPr>
      <w:r w:rsidRPr="00965204">
        <w:rPr>
          <w:rFonts w:ascii="Times New Roman" w:eastAsia="바탕" w:hAnsi="Times New Roman" w:cs="Times New Roman"/>
          <w:b/>
          <w:sz w:val="24"/>
          <w:szCs w:val="24"/>
        </w:rPr>
        <w:t>Detailed information on in-class presentation and participation</w:t>
      </w:r>
    </w:p>
    <w:p w14:paraId="56DDB75D" w14:textId="7239A51C" w:rsidR="0051705D" w:rsidRPr="00A87642" w:rsidRDefault="00C52636" w:rsidP="00A87642">
      <w:pPr>
        <w:spacing w:line="240" w:lineRule="auto"/>
        <w:rPr>
          <w:rFonts w:ascii="Times New Roman" w:eastAsia="바탕" w:hAnsi="Times New Roman" w:cs="Times New Roman"/>
          <w:sz w:val="24"/>
          <w:szCs w:val="24"/>
        </w:rPr>
      </w:pPr>
      <w:r w:rsidRPr="00C52636">
        <w:rPr>
          <w:rFonts w:ascii="Times New Roman" w:eastAsia="바탕" w:hAnsi="Times New Roman" w:cs="Times New Roman"/>
          <w:sz w:val="24"/>
          <w:szCs w:val="24"/>
        </w:rPr>
        <w:t xml:space="preserve">You will be asked to have </w:t>
      </w:r>
      <w:r>
        <w:rPr>
          <w:rFonts w:ascii="Times New Roman" w:eastAsia="바탕" w:hAnsi="Times New Roman" w:cs="Times New Roman"/>
          <w:sz w:val="24"/>
          <w:szCs w:val="24"/>
        </w:rPr>
        <w:t xml:space="preserve">in-class presentations </w:t>
      </w:r>
      <w:r w:rsidR="00A87642">
        <w:rPr>
          <w:rFonts w:ascii="Times New Roman" w:eastAsia="바탕" w:hAnsi="Times New Roman" w:cs="Times New Roman"/>
          <w:sz w:val="24"/>
          <w:szCs w:val="24"/>
        </w:rPr>
        <w:t>twice during the course</w:t>
      </w:r>
      <w:r w:rsidR="00301B5A">
        <w:rPr>
          <w:rFonts w:ascii="Times New Roman" w:eastAsia="바탕" w:hAnsi="Times New Roman" w:cs="Times New Roman"/>
          <w:sz w:val="24"/>
          <w:szCs w:val="24"/>
        </w:rPr>
        <w:t>: one as a presen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ter, and the </w:t>
      </w:r>
      <w:r w:rsidR="00A87642">
        <w:rPr>
          <w:rFonts w:ascii="Times New Roman" w:eastAsia="바탕" w:hAnsi="Times New Roman" w:cs="Times New Roman"/>
          <w:sz w:val="24"/>
          <w:szCs w:val="24"/>
        </w:rPr>
        <w:t>another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 as a commentato</w:t>
      </w:r>
      <w:r w:rsidR="00301B5A">
        <w:rPr>
          <w:rFonts w:ascii="Times New Roman" w:eastAsia="바탕" w:hAnsi="Times New Roman" w:cs="Times New Roman"/>
          <w:sz w:val="24"/>
          <w:szCs w:val="24"/>
        </w:rPr>
        <w:t>r</w:t>
      </w:r>
      <w:r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The list of papers for the presentation which are related to </w:t>
      </w:r>
      <w:r w:rsidR="00A87642">
        <w:rPr>
          <w:rFonts w:ascii="Times New Roman" w:eastAsia="바탕" w:hAnsi="Times New Roman" w:cs="Times New Roman"/>
          <w:sz w:val="24"/>
          <w:szCs w:val="24"/>
        </w:rPr>
        <w:t>class topics will be provided o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n the first day of class so that you can chose which paper you will present. For each paper, </w:t>
      </w:r>
      <w:r w:rsidR="00A87642">
        <w:rPr>
          <w:rFonts w:ascii="Times New Roman" w:eastAsia="바탕" w:hAnsi="Times New Roman" w:cs="Times New Roman"/>
          <w:sz w:val="24"/>
          <w:szCs w:val="24"/>
        </w:rPr>
        <w:t xml:space="preserve">there will be a 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summarizer </w:t>
      </w:r>
      <w:r w:rsidR="00A87642">
        <w:rPr>
          <w:rFonts w:ascii="Times New Roman" w:eastAsia="바탕" w:hAnsi="Times New Roman" w:cs="Times New Roman"/>
          <w:sz w:val="24"/>
          <w:szCs w:val="24"/>
        </w:rPr>
        <w:t>whose role is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87642">
        <w:rPr>
          <w:rFonts w:ascii="Times New Roman" w:eastAsia="바탕" w:hAnsi="Times New Roman" w:cs="Times New Roman"/>
          <w:sz w:val="24"/>
          <w:szCs w:val="24"/>
        </w:rPr>
        <w:t xml:space="preserve">to summarize 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the paper in detail, and </w:t>
      </w:r>
      <w:r w:rsidR="00A87642">
        <w:rPr>
          <w:rFonts w:ascii="Times New Roman" w:eastAsia="바탕" w:hAnsi="Times New Roman" w:cs="Times New Roman"/>
          <w:sz w:val="24"/>
          <w:szCs w:val="24"/>
        </w:rPr>
        <w:t xml:space="preserve">a commentator, </w:t>
      </w:r>
      <w:r w:rsidR="008040AF">
        <w:rPr>
          <w:rFonts w:ascii="Times New Roman" w:eastAsia="바탕" w:hAnsi="Times New Roman" w:cs="Times New Roman"/>
          <w:sz w:val="24"/>
          <w:szCs w:val="24"/>
        </w:rPr>
        <w:t>who</w:t>
      </w:r>
      <w:r w:rsidR="00A87642">
        <w:rPr>
          <w:rFonts w:ascii="Times New Roman" w:eastAsia="바탕" w:hAnsi="Times New Roman" w:cs="Times New Roman"/>
          <w:sz w:val="24"/>
          <w:szCs w:val="24"/>
        </w:rPr>
        <w:t xml:space="preserve">se role is to </w:t>
      </w:r>
      <w:r w:rsidR="008040AF">
        <w:rPr>
          <w:rFonts w:ascii="Times New Roman" w:eastAsia="바탕" w:hAnsi="Times New Roman" w:cs="Times New Roman"/>
          <w:sz w:val="24"/>
          <w:szCs w:val="24"/>
        </w:rPr>
        <w:t>criticize and discuss limitation</w:t>
      </w:r>
      <w:r w:rsidR="00A87642">
        <w:rPr>
          <w:rFonts w:ascii="Times New Roman" w:eastAsia="바탕" w:hAnsi="Times New Roman" w:cs="Times New Roman"/>
          <w:sz w:val="24"/>
          <w:szCs w:val="24"/>
        </w:rPr>
        <w:t>s</w:t>
      </w:r>
      <w:r w:rsidR="008040AF">
        <w:rPr>
          <w:rFonts w:ascii="Times New Roman" w:eastAsia="바탕" w:hAnsi="Times New Roman" w:cs="Times New Roman"/>
          <w:sz w:val="24"/>
          <w:szCs w:val="24"/>
        </w:rPr>
        <w:t xml:space="preserve"> and future </w:t>
      </w:r>
      <w:r w:rsidR="008040AF">
        <w:rPr>
          <w:rFonts w:ascii="Times New Roman" w:eastAsia="바탕" w:hAnsi="Times New Roman" w:cs="Times New Roman"/>
          <w:sz w:val="24"/>
          <w:szCs w:val="24"/>
        </w:rPr>
        <w:lastRenderedPageBreak/>
        <w:t xml:space="preserve">research. Both presenter and commentator </w:t>
      </w:r>
      <w:r w:rsidR="00A87642">
        <w:rPr>
          <w:rFonts w:ascii="Times New Roman" w:eastAsia="바탕" w:hAnsi="Times New Roman" w:cs="Times New Roman"/>
          <w:sz w:val="24"/>
          <w:szCs w:val="24"/>
        </w:rPr>
        <w:t xml:space="preserve">are expected to prepare powerpoint slides for their presentations. </w:t>
      </w:r>
    </w:p>
    <w:sectPr w:rsidR="0051705D" w:rsidRPr="00A87642">
      <w:footerReference w:type="even" r:id="rId14"/>
      <w:footerReference w:type="defaul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80079" w14:textId="77777777" w:rsidR="00D45036" w:rsidRDefault="00D45036" w:rsidP="00D42CAC">
      <w:pPr>
        <w:spacing w:after="0" w:line="240" w:lineRule="auto"/>
      </w:pPr>
      <w:r>
        <w:separator/>
      </w:r>
    </w:p>
  </w:endnote>
  <w:endnote w:type="continuationSeparator" w:id="0">
    <w:p w14:paraId="2406E9CE" w14:textId="77777777" w:rsidR="00D45036" w:rsidRDefault="00D45036" w:rsidP="00D4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631E" w14:textId="77777777" w:rsidR="00A87642" w:rsidRDefault="00A87642" w:rsidP="000749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506FB0" w14:textId="77777777" w:rsidR="00A87642" w:rsidRDefault="00A876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957B5" w14:textId="77777777" w:rsidR="00A87642" w:rsidRDefault="00A87642" w:rsidP="000749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5036">
      <w:rPr>
        <w:rStyle w:val="a7"/>
        <w:noProof/>
      </w:rPr>
      <w:t>1</w:t>
    </w:r>
    <w:r>
      <w:rPr>
        <w:rStyle w:val="a7"/>
      </w:rPr>
      <w:fldChar w:fldCharType="end"/>
    </w:r>
  </w:p>
  <w:p w14:paraId="44A7EBE8" w14:textId="08652C95" w:rsidR="00A87642" w:rsidRDefault="00A87642">
    <w:pPr>
      <w:pStyle w:val="a4"/>
      <w:jc w:val="center"/>
    </w:pPr>
  </w:p>
  <w:p w14:paraId="79120163" w14:textId="77777777" w:rsidR="00A87642" w:rsidRDefault="00A876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9B6D9" w14:textId="77777777" w:rsidR="00D45036" w:rsidRDefault="00D45036" w:rsidP="00D42CAC">
      <w:pPr>
        <w:spacing w:after="0" w:line="240" w:lineRule="auto"/>
      </w:pPr>
      <w:r>
        <w:separator/>
      </w:r>
    </w:p>
  </w:footnote>
  <w:footnote w:type="continuationSeparator" w:id="0">
    <w:p w14:paraId="30276C3B" w14:textId="77777777" w:rsidR="00D45036" w:rsidRDefault="00D45036" w:rsidP="00D4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264"/>
    <w:multiLevelType w:val="hybridMultilevel"/>
    <w:tmpl w:val="7CFEABC0"/>
    <w:lvl w:ilvl="0" w:tplc="4D588AC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B40A48"/>
    <w:multiLevelType w:val="hybridMultilevel"/>
    <w:tmpl w:val="DED66C62"/>
    <w:lvl w:ilvl="0" w:tplc="1C36CC5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798D"/>
    <w:multiLevelType w:val="hybridMultilevel"/>
    <w:tmpl w:val="3934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74CC"/>
    <w:multiLevelType w:val="hybridMultilevel"/>
    <w:tmpl w:val="1090CFEA"/>
    <w:lvl w:ilvl="0" w:tplc="4D52CDD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C6779"/>
    <w:multiLevelType w:val="hybridMultilevel"/>
    <w:tmpl w:val="837C9A68"/>
    <w:lvl w:ilvl="0" w:tplc="7C240DF4">
      <w:start w:val="1"/>
      <w:numFmt w:val="bullet"/>
      <w:pStyle w:val="read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F76B4"/>
    <w:multiLevelType w:val="hybridMultilevel"/>
    <w:tmpl w:val="7DA469DC"/>
    <w:lvl w:ilvl="0" w:tplc="9FFE3F72">
      <w:start w:val="1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11538"/>
    <w:multiLevelType w:val="hybridMultilevel"/>
    <w:tmpl w:val="CA00F0C8"/>
    <w:lvl w:ilvl="0" w:tplc="C652BA0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B"/>
    <w:rsid w:val="00005523"/>
    <w:rsid w:val="00047CED"/>
    <w:rsid w:val="00063C4D"/>
    <w:rsid w:val="00074966"/>
    <w:rsid w:val="000D0F75"/>
    <w:rsid w:val="00137244"/>
    <w:rsid w:val="0017026F"/>
    <w:rsid w:val="001806E3"/>
    <w:rsid w:val="00181F16"/>
    <w:rsid w:val="00194126"/>
    <w:rsid w:val="001971FC"/>
    <w:rsid w:val="001A634D"/>
    <w:rsid w:val="001B1BB1"/>
    <w:rsid w:val="001B710F"/>
    <w:rsid w:val="001C5ECF"/>
    <w:rsid w:val="00226ED9"/>
    <w:rsid w:val="002435D3"/>
    <w:rsid w:val="002509D7"/>
    <w:rsid w:val="00250FBA"/>
    <w:rsid w:val="0026585C"/>
    <w:rsid w:val="002A0C3E"/>
    <w:rsid w:val="002A7FB1"/>
    <w:rsid w:val="002D1AAB"/>
    <w:rsid w:val="002D31D6"/>
    <w:rsid w:val="002E53EE"/>
    <w:rsid w:val="00301B5A"/>
    <w:rsid w:val="00331E2F"/>
    <w:rsid w:val="003363B0"/>
    <w:rsid w:val="003565FF"/>
    <w:rsid w:val="00395FB9"/>
    <w:rsid w:val="003A7891"/>
    <w:rsid w:val="003B6FB9"/>
    <w:rsid w:val="003C3BFC"/>
    <w:rsid w:val="003C7B9C"/>
    <w:rsid w:val="00431F45"/>
    <w:rsid w:val="00453197"/>
    <w:rsid w:val="00483499"/>
    <w:rsid w:val="004850AD"/>
    <w:rsid w:val="004B6C1B"/>
    <w:rsid w:val="004C17AC"/>
    <w:rsid w:val="004F0AC7"/>
    <w:rsid w:val="00513F20"/>
    <w:rsid w:val="0051705D"/>
    <w:rsid w:val="00520813"/>
    <w:rsid w:val="00572739"/>
    <w:rsid w:val="00576494"/>
    <w:rsid w:val="005827F7"/>
    <w:rsid w:val="005904C6"/>
    <w:rsid w:val="00594F00"/>
    <w:rsid w:val="005B7CB5"/>
    <w:rsid w:val="005C2202"/>
    <w:rsid w:val="005F7804"/>
    <w:rsid w:val="00602EA8"/>
    <w:rsid w:val="00641DEB"/>
    <w:rsid w:val="0064352A"/>
    <w:rsid w:val="00644834"/>
    <w:rsid w:val="00653B74"/>
    <w:rsid w:val="006746E8"/>
    <w:rsid w:val="006961E5"/>
    <w:rsid w:val="006B0CB6"/>
    <w:rsid w:val="007114CD"/>
    <w:rsid w:val="007179E7"/>
    <w:rsid w:val="00726ED8"/>
    <w:rsid w:val="00775FC5"/>
    <w:rsid w:val="007D3617"/>
    <w:rsid w:val="007E6546"/>
    <w:rsid w:val="007F5430"/>
    <w:rsid w:val="008040AF"/>
    <w:rsid w:val="008366B0"/>
    <w:rsid w:val="00873425"/>
    <w:rsid w:val="008A3BB4"/>
    <w:rsid w:val="009138D6"/>
    <w:rsid w:val="009264A0"/>
    <w:rsid w:val="00965204"/>
    <w:rsid w:val="00973B19"/>
    <w:rsid w:val="009E3262"/>
    <w:rsid w:val="00A05625"/>
    <w:rsid w:val="00A87642"/>
    <w:rsid w:val="00AA0D89"/>
    <w:rsid w:val="00AD3784"/>
    <w:rsid w:val="00B15064"/>
    <w:rsid w:val="00B548C5"/>
    <w:rsid w:val="00B61917"/>
    <w:rsid w:val="00BC24D1"/>
    <w:rsid w:val="00BE44AA"/>
    <w:rsid w:val="00C27837"/>
    <w:rsid w:val="00C52636"/>
    <w:rsid w:val="00CD10A1"/>
    <w:rsid w:val="00CE740F"/>
    <w:rsid w:val="00D24593"/>
    <w:rsid w:val="00D42CAC"/>
    <w:rsid w:val="00D45036"/>
    <w:rsid w:val="00D46861"/>
    <w:rsid w:val="00D60212"/>
    <w:rsid w:val="00D638E9"/>
    <w:rsid w:val="00D659DA"/>
    <w:rsid w:val="00D703AA"/>
    <w:rsid w:val="00DC688F"/>
    <w:rsid w:val="00DD3365"/>
    <w:rsid w:val="00DD5899"/>
    <w:rsid w:val="00DE34F8"/>
    <w:rsid w:val="00DE5686"/>
    <w:rsid w:val="00DF225E"/>
    <w:rsid w:val="00E01582"/>
    <w:rsid w:val="00EC5FF8"/>
    <w:rsid w:val="00EC6658"/>
    <w:rsid w:val="00ED4839"/>
    <w:rsid w:val="00F506B3"/>
    <w:rsid w:val="00FB323A"/>
    <w:rsid w:val="00FC5FB0"/>
    <w:rsid w:val="00FD3E37"/>
    <w:rsid w:val="00FF30E7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51CBEE"/>
  <w15:docId w15:val="{879EA0DA-3211-4CDE-B128-08C0ED69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31D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4F0AC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C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42CAC"/>
  </w:style>
  <w:style w:type="paragraph" w:styleId="a4">
    <w:name w:val="footer"/>
    <w:basedOn w:val="a"/>
    <w:link w:val="Char0"/>
    <w:uiPriority w:val="99"/>
    <w:unhideWhenUsed/>
    <w:rsid w:val="00D42C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42CAC"/>
  </w:style>
  <w:style w:type="character" w:customStyle="1" w:styleId="2Char">
    <w:name w:val="제목 2 Char"/>
    <w:basedOn w:val="a0"/>
    <w:link w:val="2"/>
    <w:uiPriority w:val="9"/>
    <w:rsid w:val="004F0AC7"/>
    <w:rPr>
      <w:rFonts w:ascii="굴림" w:eastAsia="굴림" w:hAnsi="굴림" w:cs="굴림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3A7891"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rsid w:val="002D31D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le-text">
    <w:name w:val="title-text"/>
    <w:basedOn w:val="a0"/>
    <w:rsid w:val="00513F20"/>
  </w:style>
  <w:style w:type="table" w:styleId="a6">
    <w:name w:val="Table Grid"/>
    <w:basedOn w:val="a1"/>
    <w:uiPriority w:val="39"/>
    <w:rsid w:val="002A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rsid w:val="00576494"/>
  </w:style>
  <w:style w:type="paragraph" w:styleId="a8">
    <w:name w:val="List Paragraph"/>
    <w:basedOn w:val="a"/>
    <w:link w:val="Char1"/>
    <w:uiPriority w:val="34"/>
    <w:qFormat/>
    <w:rsid w:val="00BC24D1"/>
    <w:pPr>
      <w:ind w:left="720"/>
      <w:contextualSpacing/>
    </w:pPr>
  </w:style>
  <w:style w:type="paragraph" w:customStyle="1" w:styleId="Default">
    <w:name w:val="Default"/>
    <w:rsid w:val="008366B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har1">
    <w:name w:val="목록 단락 Char"/>
    <w:basedOn w:val="a0"/>
    <w:link w:val="a8"/>
    <w:uiPriority w:val="34"/>
    <w:rsid w:val="00DD5899"/>
  </w:style>
  <w:style w:type="paragraph" w:customStyle="1" w:styleId="reading">
    <w:name w:val="reading"/>
    <w:basedOn w:val="a8"/>
    <w:link w:val="readingChar"/>
    <w:qFormat/>
    <w:rsid w:val="00DD5899"/>
    <w:pPr>
      <w:widowControl/>
      <w:numPr>
        <w:numId w:val="7"/>
      </w:numPr>
      <w:wordWrap/>
      <w:autoSpaceDE/>
      <w:autoSpaceDN/>
      <w:spacing w:after="0" w:line="240" w:lineRule="auto"/>
      <w:jc w:val="left"/>
    </w:pPr>
    <w:rPr>
      <w:rFonts w:ascii="Arial" w:hAnsi="Arial" w:cs="Arial"/>
      <w:kern w:val="0"/>
      <w:szCs w:val="20"/>
      <w:lang w:val="en-GB" w:eastAsia="ja-JP"/>
    </w:rPr>
  </w:style>
  <w:style w:type="character" w:customStyle="1" w:styleId="readingChar">
    <w:name w:val="reading Char"/>
    <w:basedOn w:val="Char1"/>
    <w:link w:val="reading"/>
    <w:rsid w:val="00DD5899"/>
    <w:rPr>
      <w:rFonts w:ascii="Arial" w:hAnsi="Arial" w:cs="Arial"/>
      <w:kern w:val="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875/6b9727ab-en" TargetMode="External"/><Relationship Id="rId13" Type="http://schemas.openxmlformats.org/officeDocument/2006/relationships/hyperlink" Target="https://doi.org/10.1787/d8da8760-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yang@kiet.re.kr" TargetMode="External"/><Relationship Id="rId12" Type="http://schemas.openxmlformats.org/officeDocument/2006/relationships/hyperlink" Target="http://www.jstor.org/stable/10.7864/j.ctt1dgn5z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uments.worldbank.org/curated/en/2016/01/25801220/global-supply-chains-trade-poli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x.doi.org/10.1257/aer.104.2.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er.org/papers/w164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owner</cp:lastModifiedBy>
  <cp:revision>2</cp:revision>
  <dcterms:created xsi:type="dcterms:W3CDTF">2021-09-09T04:15:00Z</dcterms:created>
  <dcterms:modified xsi:type="dcterms:W3CDTF">2021-09-09T04:15:00Z</dcterms:modified>
</cp:coreProperties>
</file>