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201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4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) </w:t>
      </w:r>
    </w:p>
    <w:p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Young-Rok Cheong ( 880-8514, e-mail: yrcheong@snu.ac.kr)</w:t>
      </w:r>
    </w:p>
    <w:p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Meeting Wed 1</w:t>
      </w:r>
      <w:r w:rsidR="008F1FA0" w:rsidRPr="00AF00C1">
        <w:rPr>
          <w:rFonts w:asciiTheme="majorHAnsi" w:eastAsiaTheme="majorHAnsi" w:hAnsiTheme="majorHAnsi" w:hint="eastAsia"/>
          <w:sz w:val="20"/>
          <w:szCs w:val="20"/>
        </w:rPr>
        <w:t>3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:30~1</w:t>
      </w:r>
      <w:r w:rsidR="008F1FA0" w:rsidRPr="00AF00C1">
        <w:rPr>
          <w:rFonts w:asciiTheme="majorHAnsi" w:eastAsiaTheme="majorHAnsi" w:hAnsiTheme="majorHAnsi" w:hint="eastAsia"/>
          <w:sz w:val="20"/>
          <w:szCs w:val="20"/>
        </w:rPr>
        <w:t>7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:30</w:t>
      </w:r>
      <w:r w:rsidR="00AF00C1">
        <w:rPr>
          <w:rFonts w:asciiTheme="majorHAnsi" w:eastAsiaTheme="majorHAnsi" w:hAnsiTheme="majorHAnsi" w:hint="eastAsia"/>
          <w:sz w:val="20"/>
          <w:szCs w:val="20"/>
        </w:rPr>
        <w:t>(negotiable)</w:t>
      </w:r>
    </w:p>
    <w:p w:rsidR="0007039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070391">
        <w:rPr>
          <w:rFonts w:asciiTheme="majorHAnsi" w:eastAsiaTheme="majorHAnsi" w:hAnsiTheme="majorHAnsi" w:hint="eastAsia"/>
          <w:sz w:val="20"/>
          <w:szCs w:val="20"/>
        </w:rPr>
        <w:t>//</w:t>
      </w:r>
    </w:p>
    <w:p w:rsidR="00175065" w:rsidRPr="00AF00C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 Hour: Tuesday and</w:t>
      </w:r>
      <w:r w:rsidR="0007039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Thursday 14: 30~16:00 or by Appointment</w:t>
      </w:r>
    </w:p>
    <w:p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of the common people of the world.  Moreover, having a new leadership of Xi Jinping, China is dreaming to be one of the strongest countries in the near future.  It is the result of the successful transition from a planned to a market 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3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plus </w:t>
      </w:r>
      <w:r w:rsidRPr="00AF00C1">
        <w:rPr>
          <w:rFonts w:asciiTheme="majorHAnsi" w:eastAsiaTheme="majorHAnsi" w:hAnsiTheme="majorHAnsi" w:hint="eastAsia"/>
          <w:szCs w:val="20"/>
        </w:rPr>
        <w:t>decades since her Open Door and Economic Reform Policy in 1978.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>transformation and rising as new player in the world economy.  This course is companion with the Chinese Banking and Finance in the fall.</w:t>
      </w:r>
    </w:p>
    <w:p w:rsidR="00175065" w:rsidRPr="00AF00C1" w:rsidRDefault="00175065" w:rsidP="00175065">
      <w:pPr>
        <w:ind w:leftChars="200" w:left="4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consistent 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8F1FA0" w:rsidRPr="00AF00C1">
        <w:rPr>
          <w:rFonts w:asciiTheme="majorHAnsi" w:eastAsiaTheme="majorHAnsi" w:hAnsiTheme="majorHAnsi" w:hint="eastAsia"/>
          <w:szCs w:val="20"/>
        </w:rPr>
        <w:t>(or concentration)</w:t>
      </w:r>
      <w:r w:rsidRPr="00AF00C1">
        <w:rPr>
          <w:rFonts w:asciiTheme="majorHAnsi" w:eastAsiaTheme="majorHAnsi" w:hAnsiTheme="majorHAnsi" w:hint="eastAsia"/>
          <w:szCs w:val="20"/>
        </w:rPr>
        <w:t xml:space="preserve">, 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>s, and preparing group project and presentation.</w:t>
      </w:r>
    </w:p>
    <w:p w:rsidR="00175065" w:rsidRPr="00AF00C1" w:rsidRDefault="00175065" w:rsidP="00175065">
      <w:pPr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Quiz(noticed in </w:t>
      </w:r>
      <w:r w:rsidRPr="00AF00C1">
        <w:rPr>
          <w:rFonts w:asciiTheme="majorHAnsi" w:eastAsiaTheme="majorHAnsi" w:hAnsiTheme="majorHAnsi"/>
          <w:szCs w:val="20"/>
        </w:rPr>
        <w:t>advance</w:t>
      </w:r>
      <w:r w:rsidRPr="00AF00C1">
        <w:rPr>
          <w:rFonts w:asciiTheme="majorHAnsi" w:eastAsiaTheme="majorHAnsi" w:hAnsiTheme="majorHAnsi" w:hint="eastAsia"/>
          <w:szCs w:val="20"/>
        </w:rPr>
        <w:t>) and Attendance: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Summary: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Participation and Group project: 50%</w:t>
      </w:r>
    </w:p>
    <w:p w:rsidR="00175065" w:rsidRPr="00AF00C1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Tentative Class Schedule</w:t>
      </w:r>
    </w:p>
    <w:p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:rsidR="008F1FA0" w:rsidRPr="00AF00C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Issue Identification (week 1)</w:t>
      </w:r>
    </w:p>
    <w:p w:rsidR="008F1FA0" w:rsidRPr="00AF00C1" w:rsidRDefault="008F1FA0" w:rsidP="008F1FA0"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*course outline</w:t>
      </w:r>
    </w:p>
    <w:p w:rsidR="008F1FA0" w:rsidRPr="00AF00C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 (week 2)</w:t>
      </w:r>
    </w:p>
    <w:p w:rsidR="008F1FA0" w:rsidRPr="00AF00C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Development Model in General; Theoretical Reviews, Asian Development Model (week3)</w:t>
      </w:r>
    </w:p>
    <w:p w:rsidR="008F1FA0" w:rsidRPr="00AF00C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Reading Government </w:t>
      </w:r>
      <w:r w:rsidR="00070391"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 w:rsidR="00070391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in </w:t>
      </w:r>
      <w:r w:rsidRPr="00AF00C1">
        <w:rPr>
          <w:rFonts w:asciiTheme="majorHAnsi" w:eastAsiaTheme="majorHAnsi" w:hAnsiTheme="majorHAnsi"/>
          <w:szCs w:val="20"/>
        </w:rPr>
        <w:t>2014</w:t>
      </w:r>
      <w:r w:rsidRPr="00AF00C1">
        <w:rPr>
          <w:rFonts w:asciiTheme="majorHAnsi" w:eastAsiaTheme="majorHAnsi" w:hAnsiTheme="majorHAnsi" w:hint="eastAsia"/>
          <w:szCs w:val="20"/>
        </w:rPr>
        <w:t xml:space="preserve"> (week 4)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lastRenderedPageBreak/>
        <w:t>Details</w:t>
      </w:r>
    </w:p>
    <w:p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Government Policy Making (week 5)</w:t>
      </w:r>
    </w:p>
    <w:p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Major Economic Players (Agents: week 6~9)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Foreign Sectors: How Big is External Sectors?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Sectors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 Development (week 10~11)</w:t>
      </w:r>
    </w:p>
    <w:p w:rsidR="008F1FA0" w:rsidRPr="00AF00C1" w:rsidRDefault="008F1FA0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HK and CEPA + Huanan(Zhu River Delta)</w:t>
      </w:r>
    </w:p>
    <w:p w:rsidR="008F1FA0" w:rsidRPr="00AF00C1" w:rsidRDefault="008F1FA0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Taiwan and ECFA+ Huadong(Shanghai)</w:t>
      </w:r>
    </w:p>
    <w:p w:rsidR="008F1FA0" w:rsidRPr="00AF00C1" w:rsidRDefault="008F1FA0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Beijing(smog/ zhongnanhai)</w:t>
      </w:r>
    </w:p>
    <w:p w:rsidR="008F1FA0" w:rsidRPr="00AF00C1" w:rsidRDefault="008F1FA0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Chengdu and Go West Policy(new silk route)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II Impact to the World (week 12~13)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</w:p>
    <w:p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>NEAR: China-Japan-Korea/ FTA/ 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:rsidR="008F1FA0" w:rsidRPr="00AF00C1" w:rsidRDefault="008F1FA0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:rsidR="008F1FA0" w:rsidRPr="00AF00C1" w:rsidRDefault="008F1FA0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Global Economy </w:t>
      </w:r>
    </w:p>
    <w:p w:rsidR="008F1FA0" w:rsidRPr="00AF00C1" w:rsidRDefault="008F1FA0" w:rsidP="008F1FA0">
      <w:pPr>
        <w:pStyle w:val="a5"/>
        <w:numPr>
          <w:ilvl w:val="0"/>
          <w:numId w:val="13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Real Sector</w:t>
      </w:r>
    </w:p>
    <w:p w:rsidR="008F1FA0" w:rsidRPr="00AF00C1" w:rsidRDefault="008F1FA0" w:rsidP="008F1FA0">
      <w:pPr>
        <w:pStyle w:val="a5"/>
        <w:numPr>
          <w:ilvl w:val="0"/>
          <w:numId w:val="13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III Overall Evaluation of the Future (wrap up)</w:t>
      </w:r>
    </w:p>
    <w:p w:rsidR="008F1FA0" w:rsidRPr="00AF00C1" w:rsidRDefault="008F1FA0" w:rsidP="008F1FA0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Middle Income Trap</w:t>
      </w:r>
    </w:p>
    <w:p w:rsidR="008F1FA0" w:rsidRPr="00AF00C1" w:rsidRDefault="008F1FA0" w:rsidP="008F1FA0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/>
          <w:szCs w:val="20"/>
        </w:rPr>
        <w:t>O</w:t>
      </w:r>
      <w:r w:rsidRPr="00AF00C1">
        <w:rPr>
          <w:rFonts w:asciiTheme="majorHAnsi" w:eastAsiaTheme="majorHAnsi" w:hAnsiTheme="majorHAnsi" w:hint="eastAsia"/>
          <w:szCs w:val="20"/>
        </w:rPr>
        <w:t xml:space="preserve"> 3 Gloomy Factors/ Shadow Banking/ Local Debts/ </w:t>
      </w:r>
    </w:p>
    <w:p w:rsidR="008F1FA0" w:rsidRPr="00AF00C1" w:rsidRDefault="008F1FA0" w:rsidP="008F1FA0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</w:p>
    <w:p w:rsidR="008F1FA0" w:rsidRPr="00AF00C1" w:rsidRDefault="008F1FA0" w:rsidP="008F1FA0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/>
          <w:szCs w:val="20"/>
        </w:rPr>
        <w:t>O</w:t>
      </w:r>
      <w:r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</w:p>
    <w:p w:rsidR="008F1FA0" w:rsidRPr="00AF00C1" w:rsidRDefault="008F1FA0" w:rsidP="008F1FA0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/>
          <w:szCs w:val="20"/>
        </w:rPr>
        <w:t>O</w:t>
      </w:r>
      <w:r w:rsidRPr="00AF00C1">
        <w:rPr>
          <w:rFonts w:asciiTheme="majorHAnsi" w:eastAsiaTheme="majorHAnsi" w:hAnsiTheme="majorHAnsi" w:hint="eastAsia"/>
          <w:szCs w:val="20"/>
        </w:rPr>
        <w:t xml:space="preserve"> Urbanization and HRS System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Side Readings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Justin Yifu Lin, Demystifying the Chinese Economy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Gregory Chow(2010), Interpreting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Economy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Gregory Chow(2007),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Trasformation 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>Barry Naughton (2007), The Chinese Economy: Transitions and Growth</w:t>
      </w:r>
    </w:p>
    <w:p w:rsidR="008F1FA0" w:rsidRPr="0032713D" w:rsidRDefault="008F1FA0" w:rsidP="0032713D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Cs w:val="20"/>
        </w:rPr>
      </w:pPr>
    </w:p>
    <w:sectPr w:rsidR="008F1FA0" w:rsidRPr="0032713D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71" w:rsidRDefault="00EC6071" w:rsidP="008F1FA0">
      <w:r>
        <w:separator/>
      </w:r>
    </w:p>
  </w:endnote>
  <w:endnote w:type="continuationSeparator" w:id="1">
    <w:p w:rsidR="00EC6071" w:rsidRDefault="00EC6071" w:rsidP="008F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71" w:rsidRDefault="00EC6071" w:rsidP="008F1FA0">
      <w:r>
        <w:separator/>
      </w:r>
    </w:p>
  </w:footnote>
  <w:footnote w:type="continuationSeparator" w:id="1">
    <w:p w:rsidR="00EC6071" w:rsidRDefault="00EC6071" w:rsidP="008F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2">
    <w:nsid w:val="202F537E"/>
    <w:multiLevelType w:val="hybridMultilevel"/>
    <w:tmpl w:val="0360EA9A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5A72B67"/>
    <w:multiLevelType w:val="hybridMultilevel"/>
    <w:tmpl w:val="5AC83EE8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97C3687"/>
    <w:multiLevelType w:val="hybridMultilevel"/>
    <w:tmpl w:val="236C3186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7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065"/>
    <w:rsid w:val="00070391"/>
    <w:rsid w:val="00175065"/>
    <w:rsid w:val="0032713D"/>
    <w:rsid w:val="004A246B"/>
    <w:rsid w:val="00617A03"/>
    <w:rsid w:val="006E4C0A"/>
    <w:rsid w:val="008F1FA0"/>
    <w:rsid w:val="00AF00C1"/>
    <w:rsid w:val="00CE2482"/>
    <w:rsid w:val="00D004C0"/>
    <w:rsid w:val="00DB5B4F"/>
    <w:rsid w:val="00E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cp:lastPrinted>2014-01-09T00:58:00Z</cp:lastPrinted>
  <dcterms:created xsi:type="dcterms:W3CDTF">2014-01-09T01:52:00Z</dcterms:created>
  <dcterms:modified xsi:type="dcterms:W3CDTF">2014-01-09T01:52:00Z</dcterms:modified>
</cp:coreProperties>
</file>