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7" w:rsidRPr="0047208D" w:rsidRDefault="001C56B7" w:rsidP="001C56B7">
      <w:pPr>
        <w:pStyle w:val="a4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47208D">
        <w:rPr>
          <w:rFonts w:ascii="Times New Roman" w:eastAsia="휴먼명조" w:hAnsi="Times New Roman" w:cs="Times New Roman"/>
          <w:b/>
          <w:color w:val="000000"/>
          <w:sz w:val="22"/>
          <w:szCs w:val="22"/>
        </w:rPr>
        <w:t xml:space="preserve">European Integration: Law and Institutions of European Union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>Spring, 2017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Graduate School of International Studies 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Seoul National University 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000000"/>
          <w:kern w:val="0"/>
          <w:sz w:val="22"/>
          <w:shd w:val="clear" w:color="auto" w:fill="FFFFFF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</w:rPr>
        <w:t>Instructor: Professor</w:t>
      </w:r>
      <w:r w:rsidRPr="0047208D">
        <w:rPr>
          <w:rFonts w:ascii="Times New Roman" w:eastAsia="Times New Roman" w:hAnsi="Times New Roman" w:cs="Times New Roman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47208D">
        <w:rPr>
          <w:rFonts w:ascii="Times New Roman" w:eastAsia="Times New Roman" w:hAnsi="Times New Roman" w:cs="Times New Roman"/>
          <w:color w:val="000000"/>
          <w:kern w:val="0"/>
          <w:sz w:val="22"/>
          <w:shd w:val="clear" w:color="auto" w:fill="FFFFFF"/>
        </w:rPr>
        <w:t>JeongHun</w:t>
      </w:r>
      <w:proofErr w:type="spellEnd"/>
      <w:r w:rsidRPr="0047208D">
        <w:rPr>
          <w:rFonts w:ascii="Times New Roman" w:eastAsia="Times New Roman" w:hAnsi="Times New Roman" w:cs="Times New Roman"/>
          <w:color w:val="000000"/>
          <w:kern w:val="0"/>
          <w:sz w:val="22"/>
          <w:shd w:val="clear" w:color="auto" w:fill="FFFFFF"/>
        </w:rPr>
        <w:t xml:space="preserve"> Han</w:t>
      </w:r>
    </w:p>
    <w:p w:rsidR="001C56B7" w:rsidRPr="0047208D" w:rsidRDefault="001C56B7" w:rsidP="001C56B7">
      <w:pPr>
        <w:widowControl/>
        <w:wordWrap/>
        <w:autoSpaceDE/>
        <w:autoSpaceDN/>
        <w:jc w:val="left"/>
        <w:rPr>
          <w:rFonts w:ascii="Times New Roman" w:eastAsia="휴먼명조" w:hAnsi="Times New Roman" w:cs="Times New Roman"/>
          <w:color w:val="000000"/>
          <w:sz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</w:rPr>
        <w:t>Office: Building 140-1, Room 616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Email: </w:t>
      </w:r>
      <w:hyperlink r:id="rId6" w:history="1">
        <w:r w:rsidRPr="0047208D">
          <w:rPr>
            <w:rStyle w:val="a5"/>
            <w:rFonts w:ascii="Times New Roman" w:eastAsia="휴먼명조" w:hAnsi="Times New Roman" w:cs="Times New Roman"/>
            <w:sz w:val="22"/>
            <w:szCs w:val="22"/>
          </w:rPr>
          <w:t>gurus72@snu.ac.kr</w:t>
        </w:r>
      </w:hyperlink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ab/>
      </w:r>
    </w:p>
    <w:p w:rsidR="001C56B7" w:rsidRDefault="001C56B7" w:rsidP="0047208D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Aim of This Course</w:t>
      </w:r>
    </w:p>
    <w:p w:rsidR="0047208D" w:rsidRDefault="0047208D" w:rsidP="0047208D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7208D" w:rsidRPr="0047208D" w:rsidRDefault="0047208D" w:rsidP="0047208D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The aim of this course is to </w:t>
      </w:r>
      <w:r w:rsidRPr="0047208D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introduce</w:t>
      </w:r>
      <w:r w:rsidRPr="0047208D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the institutional and legal framework of the European Union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and thus improve students</w:t>
      </w:r>
      <w:r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’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understanding of the European Union</w:t>
      </w:r>
      <w:r w:rsidRPr="0047208D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In particular, this course focuses on the four representative institutions of the EU: European Union Council, Council of the European Union, European Parliament,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Commission. Also, it covers the relationship between the institutions and their roles in the Europe. Finally, the policy issues such as immigration and security which invoked a lot of interests outside the EU will be discussed at the end of this course. </w:t>
      </w:r>
    </w:p>
    <w:p w:rsidR="0047208D" w:rsidRDefault="0047208D" w:rsidP="0047208D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7208D" w:rsidRPr="0047208D" w:rsidRDefault="0047208D" w:rsidP="0047208D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Grading</w:t>
      </w: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>Midterm Exam (30%), Final Exam</w:t>
      </w:r>
      <w:r w:rsidR="0047208D"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(30%), </w:t>
      </w:r>
      <w:proofErr w:type="gramStart"/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>Presentation(</w:t>
      </w:r>
      <w:proofErr w:type="gramEnd"/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20%), Participation(20%) 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color w:val="000000"/>
          <w:sz w:val="22"/>
          <w:szCs w:val="22"/>
        </w:rPr>
        <w:t>* Classroom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>Building 140-1, Room 202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  <w:lang w:val="en-GB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Date and Time</w:t>
      </w: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1C56B7" w:rsidRPr="0047208D" w:rsidRDefault="001C56B7" w:rsidP="001C56B7">
      <w:pPr>
        <w:pStyle w:val="a4"/>
        <w:spacing w:before="0" w:beforeAutospacing="0" w:after="0" w:afterAutospacing="0" w:line="160" w:lineRule="atLeast"/>
        <w:ind w:firstLine="105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Thursday, 14:00PM~17:00PM  </w:t>
      </w:r>
    </w:p>
    <w:p w:rsidR="001C56B7" w:rsidRPr="0047208D" w:rsidRDefault="001C56B7" w:rsidP="001C56B7">
      <w:pPr>
        <w:pStyle w:val="a4"/>
        <w:spacing w:before="0" w:beforeAutospacing="0" w:after="0" w:afterAutospacing="0" w:line="160" w:lineRule="atLeast"/>
        <w:ind w:firstLine="105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160" w:lineRule="atLeast"/>
        <w:ind w:firstLine="105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color w:val="000000"/>
          <w:sz w:val="22"/>
          <w:szCs w:val="22"/>
        </w:rPr>
        <w:t>* Reference</w:t>
      </w:r>
      <w:r w:rsidRPr="004720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56B7" w:rsidRPr="0047208D" w:rsidRDefault="0047208D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1. Course Pack bundling up various assigned journal articles for the course. </w:t>
      </w:r>
    </w:p>
    <w:p w:rsidR="0047208D" w:rsidRPr="0047208D" w:rsidRDefault="0047208D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7208D" w:rsidRPr="0047208D" w:rsidRDefault="0047208D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47208D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color w:val="000000"/>
          <w:sz w:val="22"/>
          <w:szCs w:val="22"/>
        </w:rPr>
        <w:t>*</w:t>
      </w:r>
      <w:r w:rsidR="001C56B7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Course Schedule: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1 (3/2) </w:t>
      </w:r>
      <w:r w:rsidR="00416367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Introduction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Introducing the organization of the course and distributing the role of presentation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2 (3/9)</w:t>
      </w:r>
      <w:r w:rsidR="00416367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Theories of European Integration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Tsebelis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George, and Geoffrey Garrett.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2001. “The Institutional Foundations of </w:t>
      </w:r>
    </w:p>
    <w:p w:rsidR="00416367" w:rsidRPr="0047208D" w:rsidRDefault="00416367" w:rsidP="00416367">
      <w:pPr>
        <w:pStyle w:val="a3"/>
        <w:ind w:left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lastRenderedPageBreak/>
        <w:t>Intergovernmentalism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and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Supranationalism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in the European Union,” International Organization 55(2):357-390</w:t>
      </w: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Hooghe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Liesbet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and Gary Marks. 2009. “A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Postfunctionalist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Theory of European Integration: </w:t>
      </w:r>
    </w:p>
    <w:p w:rsidR="00416367" w:rsidRPr="0047208D" w:rsidRDefault="00416367" w:rsidP="00416367">
      <w:pPr>
        <w:pStyle w:val="a3"/>
        <w:ind w:left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From Permissive Consensus to Constraining,” British Journal of Political Science 39(1):1-23.</w:t>
      </w: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Schmitter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Philippe C. 2009. “On the Way to a Post-Functionalist Theory of European </w:t>
      </w:r>
    </w:p>
    <w:p w:rsidR="00416367" w:rsidRPr="0047208D" w:rsidRDefault="00416367" w:rsidP="00416367">
      <w:pPr>
        <w:pStyle w:val="a3"/>
        <w:ind w:firstLine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Integration,” British Journal of Political Science 39(1):211-215.</w:t>
      </w:r>
    </w:p>
    <w:p w:rsidR="00416367" w:rsidRPr="0047208D" w:rsidRDefault="00416367" w:rsidP="00416367">
      <w:pPr>
        <w:pStyle w:val="a3"/>
        <w:ind w:firstLine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Recommended: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Ferrero-Waldner, Benita. 2005. “The Principles Underlying European Integration,”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Foreigh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416367" w:rsidRPr="0047208D" w:rsidRDefault="00416367" w:rsidP="00416367">
      <w:pPr>
        <w:pStyle w:val="a3"/>
        <w:ind w:firstLine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Policy 151:2-3. </w:t>
      </w: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Parsons, Craig. 2002. “Showing Ideas as Causes: The Origins of the European Union,” </w:t>
      </w:r>
    </w:p>
    <w:p w:rsidR="00416367" w:rsidRPr="0047208D" w:rsidRDefault="00416367" w:rsidP="00416367">
      <w:pPr>
        <w:pStyle w:val="a3"/>
        <w:ind w:firstLine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International Organization 56(1):47-84.</w:t>
      </w: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Hobolt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Sara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Binzer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and Sylvain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Brouard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2011. “Contesting the European Union? Why the </w:t>
      </w:r>
    </w:p>
    <w:p w:rsidR="00416367" w:rsidRPr="0047208D" w:rsidRDefault="00416367" w:rsidP="00416367">
      <w:pPr>
        <w:pStyle w:val="a3"/>
        <w:ind w:left="800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Dutch and the French Rejected the European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Constitutionm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” Political Research Quarterly 64(2):309-322.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3 (3/16)</w:t>
      </w:r>
      <w:r w:rsidR="0070026C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Institution 1 (European Council and the Council of the European Union)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Bulmer, Simon J. 1996. “The European Council and the Council of the European Union: Shapers of a European Confederation,”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Publius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26(4):17-42.</w:t>
      </w: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Hosli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Madeleine O. 1999. “Power, Connected Coalitions, and Efficiency: Challenges to the Council of the European Union,” International Political Science Review 20(4):371-391.</w:t>
      </w:r>
    </w:p>
    <w:p w:rsidR="00416367" w:rsidRPr="0047208D" w:rsidRDefault="00416367" w:rsidP="00416367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47208D">
        <w:rPr>
          <w:rFonts w:ascii="Times New Roman" w:hAnsi="Times New Roman" w:cs="Times New Roman"/>
          <w:sz w:val="22"/>
          <w:szCs w:val="22"/>
        </w:rPr>
        <w:t>Johnston R. J. 1995.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“The Conflict over Qualified Majority Voting in the European Union Council of Ministers: An Analysis of the UK Negotiating Stance Using Power Indices,” British Journal of Political Science 25(2):245-254. 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Recommended: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41636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Leech, Dennis. 2002. “Designing the Voting System for the Council of the European Union,” Public Choice 113(3/4):437-464.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4 (3/23)</w:t>
      </w:r>
      <w:r w:rsidR="0070026C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Institution 2: European Commission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Bello, Judith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Hippler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and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Beate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Rudolf.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1997. “Commission of the European Communities v. Council of the European Union,” American Journal of International Law 91(2):349-355.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208D">
        <w:rPr>
          <w:rFonts w:ascii="Times New Roman" w:hAnsi="Times New Roman" w:cs="Times New Roman"/>
          <w:sz w:val="22"/>
          <w:szCs w:val="22"/>
        </w:rPr>
        <w:lastRenderedPageBreak/>
        <w:t>Napel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Stefan, and Mika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Widgren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2008. “The European Commission-Appointment, Preferences, and Institutional Relations,” Public Choice 137(1/2):21-41. 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r w:rsidRPr="0047208D">
        <w:rPr>
          <w:rFonts w:ascii="Times New Roman" w:hAnsi="Times New Roman" w:cs="Times New Roman"/>
          <w:sz w:val="22"/>
          <w:szCs w:val="22"/>
        </w:rPr>
        <w:t xml:space="preserve">Thomson, Robert, Rene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Torenvlied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 2011. “Information, Commitment and Consensus: A Comparison of Three Perspectives on Delegation in the European Union,” British Journal of Political Science 41(1):139-159.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5 (3/30)</w:t>
      </w:r>
      <w:r w:rsidR="0070026C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Institution 3: European Parliament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Lidstadt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Rene, Jonathan B.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Slapin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Ryan J.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Vanderwielen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. 2011. “Balancing Competing Demands: Position Taking and Election Proximity in the European Parliament,” Legislative Studies Quarterly 36(1):37-70.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47208D">
        <w:rPr>
          <w:rFonts w:ascii="Times New Roman" w:hAnsi="Times New Roman" w:cs="Times New Roman"/>
          <w:sz w:val="22"/>
          <w:szCs w:val="22"/>
        </w:rPr>
        <w:t>McElroy, Gail, and Kenneth Benoit.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2010. “Party Policy and Group Affiliation in the European Union,” British Journal of Political Science 40(2):377-398.</w:t>
      </w:r>
    </w:p>
    <w:p w:rsidR="0047208D" w:rsidRPr="0047208D" w:rsidRDefault="0047208D" w:rsidP="0047208D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Carrubba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Clifford J. 2001. “The Electoral Connection in European Union Politics” Journal of Politics 63(1):141-158.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Recommended: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47208D">
        <w:rPr>
          <w:rFonts w:ascii="Times New Roman" w:hAnsi="Times New Roman" w:cs="Times New Roman"/>
          <w:sz w:val="22"/>
          <w:szCs w:val="22"/>
        </w:rPr>
        <w:t>Meserve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Stephen A., Daniel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Pemstein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, William T. Bernhard. 2009. “Political Ambition and Legislative Behavior in the European Parliament,” Journal of Politics 71(3):1015-1032.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208D">
        <w:rPr>
          <w:rFonts w:ascii="Times New Roman" w:hAnsi="Times New Roman" w:cs="Times New Roman"/>
          <w:sz w:val="22"/>
          <w:szCs w:val="22"/>
        </w:rPr>
        <w:t>Hix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Simon, Abdul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Noury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, and Gerard Roland.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2006. “Dimensions of Politics in the European Parliament,” American Journal of Political Science 50(2):494-511.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6 (4/6)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Legal Structure of the EU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Rhelan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Diamuid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Rossa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. 1993. “Between the Single Market and the European Union,” PS: Political Science and Politics 26(4):732-736.</w:t>
      </w: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Ballmann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Alexander, David Epstein, Sharyn O’Halloran. 2002. “Delegation, Comitology, and the Separation of Powers in the European Union,” International Organization 56(3):5510574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7 (4/13)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Institutional Reform in the EU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Schulz, Heiner, and Thomas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Konig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2000. “Institutional Reform and Decision-Making Efficiency in the European Union,” American Journal of Political Science 44(4):653-666.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8 (4/20)</w:t>
      </w:r>
      <w:r w:rsidR="00416367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Midterm Exam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9 (4/27)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European Decisions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Thomson, Robert, Rene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Torenvlied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and Javier </w:t>
      </w: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Arregui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2007. “The Paradox of Compliance: Infringements and Delays in Transposing European Union Directives” British Journal of Political Science 37(4):685-709.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47208D">
        <w:rPr>
          <w:rFonts w:ascii="Times New Roman" w:hAnsi="Times New Roman" w:cs="Times New Roman"/>
          <w:sz w:val="22"/>
          <w:szCs w:val="22"/>
        </w:rPr>
        <w:t>Tsebelis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George, Christian B. Jensen,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Anastassios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Kalandrakis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Amie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Kreppel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 2001. “Legislative Procedures in the European Union: An Empirical Analysis,” British Journal of Political Science 31(4):573-599.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47208D">
        <w:rPr>
          <w:rFonts w:ascii="Times New Roman" w:hAnsi="Times New Roman" w:cs="Times New Roman"/>
          <w:sz w:val="22"/>
          <w:szCs w:val="22"/>
        </w:rPr>
        <w:t>Bulmer, Simon, and Stephen Padgett.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2005. “Policy Transfer in the European Union: An Institutional Perspective” British Journal of Political Science 35(1):103-126.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7208D">
        <w:rPr>
          <w:rFonts w:ascii="Times New Roman" w:hAnsi="Times New Roman" w:cs="Times New Roman"/>
          <w:sz w:val="22"/>
          <w:szCs w:val="22"/>
        </w:rPr>
        <w:br/>
      </w:r>
      <w:r w:rsidRPr="0047208D">
        <w:rPr>
          <w:rFonts w:ascii="Times New Roman" w:hAnsi="Times New Roman" w:cs="Times New Roman"/>
          <w:b/>
          <w:sz w:val="22"/>
          <w:szCs w:val="22"/>
        </w:rPr>
        <w:t>Recommended: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47208D">
        <w:rPr>
          <w:rFonts w:ascii="Times New Roman" w:hAnsi="Times New Roman" w:cs="Times New Roman"/>
          <w:sz w:val="22"/>
          <w:szCs w:val="22"/>
        </w:rPr>
        <w:t>Aksoy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Deniz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 2012. “Institutional Arrangements and Logrolling: Evidence from the European Union,” American Journal of Political Science 56(3):538-552.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47208D">
        <w:rPr>
          <w:rFonts w:ascii="Times New Roman" w:hAnsi="Times New Roman" w:cs="Times New Roman"/>
          <w:sz w:val="22"/>
          <w:szCs w:val="22"/>
        </w:rPr>
        <w:t>Konig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Thomas, Bjorn Lindberg, Sandra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Lechner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Winfried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Pohlmeier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 2007. “Bicameral Conflict Resolution in the European Union: An Empirical Analysis of Conciliation Committee Bargains,” British Journal of Political Science 37(2):281-312.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10 (5/4)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Ordinary Legislative Procedure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Crombez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Christophe. 1997. “The Co-Decision Procedure in the European Union,” Legislative Studies Quarterly 22(1):97-119.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11 (5/11)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Relationship between the EP and the Council of the EU</w:t>
      </w:r>
    </w:p>
    <w:p w:rsidR="00416367" w:rsidRPr="0047208D" w:rsidRDefault="0047208D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Yoshinaka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Antoine, Gail McElroy, and Shaun Bowler.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2010. “An Appointment of Rapporteurs in the European Parliament,” Legislative Studies Quarterly 35(4):457-486.</w:t>
      </w:r>
    </w:p>
    <w:p w:rsidR="00416367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proofErr w:type="gramStart"/>
      <w:r w:rsidRPr="0047208D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Finke and Han.</w:t>
      </w:r>
      <w:proofErr w:type="gramEnd"/>
      <w:r w:rsidRPr="0047208D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 xml:space="preserve"> </w:t>
      </w: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>Week 12 (5/18)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Immigration in the EU I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Aggestam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Lisbeth, and Christopher Hill.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2008. “The Challenge of Multiculturalism in European Foreign Policy,” International Affairs 84(1):97-114.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208D">
        <w:rPr>
          <w:rFonts w:ascii="Times New Roman" w:hAnsi="Times New Roman" w:cs="Times New Roman"/>
          <w:sz w:val="22"/>
          <w:szCs w:val="22"/>
        </w:rPr>
        <w:t>Dancygier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, Rafaela M., and Michael J. Donnelly.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2012. “Sectoral Economies, Economic Contexts, Attitudes toward Immigration,” Journal of Politics 75(1):17-35.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208D">
        <w:rPr>
          <w:rFonts w:ascii="Times New Roman" w:hAnsi="Times New Roman" w:cs="Times New Roman"/>
          <w:sz w:val="22"/>
          <w:szCs w:val="22"/>
        </w:rPr>
        <w:t>Emmenegger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Patrich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and Robert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Klemmensen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2013. “What Motivates You? The Relationship between Preferences and Redistribution and Attitudes toward Immigration,” Comparative Politics 45(2):227-246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13 (5/25)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Immigration in the EU II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Pahre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, Robert. 1997. “Endogenous Domestic Institutions in Two-Level Games and Parliamentary Oversight of the European Union,” Journal of Conflict Resolution 41(1):147-174. 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47208D">
        <w:rPr>
          <w:rFonts w:ascii="Times New Roman" w:hAnsi="Times New Roman" w:cs="Times New Roman"/>
          <w:sz w:val="22"/>
          <w:szCs w:val="22"/>
        </w:rPr>
        <w:t>Aspinwall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 xml:space="preserve">, Mark. 2007. “Government Preferences on European Integration: An Empirical Test of Five Theories,” British Journal of Political Science 37(1):89-114. 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47208D">
        <w:rPr>
          <w:rFonts w:ascii="Times New Roman" w:hAnsi="Times New Roman" w:cs="Times New Roman"/>
          <w:sz w:val="22"/>
          <w:szCs w:val="22"/>
        </w:rPr>
        <w:t xml:space="preserve">Sides, John, and Jack </w:t>
      </w:r>
      <w:proofErr w:type="spellStart"/>
      <w:r w:rsidRPr="0047208D">
        <w:rPr>
          <w:rFonts w:ascii="Times New Roman" w:hAnsi="Times New Roman" w:cs="Times New Roman"/>
          <w:sz w:val="22"/>
          <w:szCs w:val="22"/>
        </w:rPr>
        <w:t>Citrin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2007. “European Opinion about Immigration: The Role of Identities, Interests and Information,” British Journal of Political Science 37(3): 477-503 </w:t>
      </w: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14 (6/1)</w:t>
      </w:r>
      <w:r w:rsidR="0047208D"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Other Issues in EU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7208D">
        <w:rPr>
          <w:rFonts w:ascii="Times New Roman" w:hAnsi="Times New Roman" w:cs="Times New Roman"/>
          <w:sz w:val="22"/>
          <w:szCs w:val="22"/>
        </w:rPr>
        <w:t>Krotz</w:t>
      </w:r>
      <w:proofErr w:type="spellEnd"/>
      <w:r w:rsidRPr="0047208D">
        <w:rPr>
          <w:rFonts w:ascii="Times New Roman" w:hAnsi="Times New Roman" w:cs="Times New Roman"/>
          <w:sz w:val="22"/>
          <w:szCs w:val="22"/>
        </w:rPr>
        <w:t>, Ulrich, and Richard Maher.</w:t>
      </w:r>
      <w:proofErr w:type="gramEnd"/>
      <w:r w:rsidRPr="0047208D">
        <w:rPr>
          <w:rFonts w:ascii="Times New Roman" w:hAnsi="Times New Roman" w:cs="Times New Roman"/>
          <w:sz w:val="22"/>
          <w:szCs w:val="22"/>
        </w:rPr>
        <w:t xml:space="preserve"> 2011. “International Relations Theory and the Rise of European Foreign and Security Policy,” World Politics 63(3):548-579.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70026C" w:rsidRPr="0047208D" w:rsidRDefault="0070026C" w:rsidP="0070026C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proofErr w:type="spellStart"/>
      <w:proofErr w:type="gramStart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Herlin-Karnell</w:t>
      </w:r>
      <w:proofErr w:type="spell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 Ester.</w:t>
      </w:r>
      <w:proofErr w:type="gramEnd"/>
      <w:r w:rsidRPr="0047208D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 xml:space="preserve"> 2010. “European Arrest Warrant Cases and the Principles of Non-discrimination and EU Citizenship,” Modern Law Review 73(5):824-835.</w:t>
      </w: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416367" w:rsidRPr="0047208D" w:rsidRDefault="0041636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47208D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15(6/8) Final Exam</w:t>
      </w: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1C56B7">
      <w:pPr>
        <w:pStyle w:val="a4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1C56B7" w:rsidRPr="0047208D" w:rsidRDefault="001C56B7" w:rsidP="00933E26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1C56B7" w:rsidRPr="0047208D" w:rsidRDefault="001C56B7" w:rsidP="00933E26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1C56B7" w:rsidRPr="0047208D" w:rsidRDefault="001C56B7" w:rsidP="00933E26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1C56B7" w:rsidRPr="0047208D" w:rsidRDefault="001C56B7" w:rsidP="00933E26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1C56B7" w:rsidRPr="0047208D" w:rsidRDefault="001C56B7" w:rsidP="001C56B7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1C56B7" w:rsidRPr="0047208D" w:rsidRDefault="001C56B7" w:rsidP="00933E26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p w:rsidR="00416367" w:rsidRPr="0047208D" w:rsidRDefault="00416367" w:rsidP="00933E26">
      <w:pPr>
        <w:pStyle w:val="a3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</w:p>
    <w:sectPr w:rsidR="00416367" w:rsidRPr="0047208D" w:rsidSect="00CC7E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336"/>
    <w:multiLevelType w:val="multilevel"/>
    <w:tmpl w:val="BA2226F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54C0"/>
    <w:multiLevelType w:val="hybridMultilevel"/>
    <w:tmpl w:val="AB9E4FE0"/>
    <w:lvl w:ilvl="0" w:tplc="D7543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2DC0248"/>
    <w:multiLevelType w:val="multilevel"/>
    <w:tmpl w:val="68A4EC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D6CB6"/>
    <w:multiLevelType w:val="multilevel"/>
    <w:tmpl w:val="A5D0B78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F1052"/>
    <w:multiLevelType w:val="multilevel"/>
    <w:tmpl w:val="79FAF34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6"/>
    <w:rsid w:val="0010243D"/>
    <w:rsid w:val="001A1711"/>
    <w:rsid w:val="001C56B7"/>
    <w:rsid w:val="00242191"/>
    <w:rsid w:val="00416367"/>
    <w:rsid w:val="0047208D"/>
    <w:rsid w:val="00666A03"/>
    <w:rsid w:val="0070026C"/>
    <w:rsid w:val="00933E26"/>
    <w:rsid w:val="00A87F09"/>
    <w:rsid w:val="00B65D07"/>
    <w:rsid w:val="00C059E6"/>
    <w:rsid w:val="00CC7E0B"/>
    <w:rsid w:val="00D700C0"/>
    <w:rsid w:val="00E1630A"/>
    <w:rsid w:val="00F2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3E26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rsid w:val="001C56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rsid w:val="001C5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3E26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rsid w:val="001C56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rsid w:val="001C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us72@sn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2017-01-09T04:39:00Z</dcterms:created>
  <dcterms:modified xsi:type="dcterms:W3CDTF">2017-01-09T04:39:00Z</dcterms:modified>
</cp:coreProperties>
</file>