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FC045E">
        <w:rPr>
          <w:rFonts w:ascii="Times-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2018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-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Fall SNU/GSIS </w:t>
      </w:r>
      <w:r w:rsidR="00F25768">
        <w:rPr>
          <w:rFonts w:ascii="Times-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</w:t>
      </w:r>
      <w:r w:rsidRPr="00FC045E">
        <w:rPr>
          <w:rFonts w:ascii="Times-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Sun-Hee PARK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-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Comparative Regional Integration: EU and Asia</w:t>
      </w:r>
      <w:r w:rsidR="00F25768">
        <w:rPr>
          <w:rFonts w:ascii="Times-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          </w:t>
      </w:r>
      <w:r w:rsidRPr="00FC045E">
        <w:rPr>
          <w:rFonts w:ascii="Times-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FC045E">
        <w:rPr>
          <w:rFonts w:ascii="Times-Roman" w:eastAsia="맑은 고딕" w:hAnsi="맑은 고딕" w:cs="굴림" w:hint="eastAsia"/>
          <w:color w:val="000000"/>
          <w:kern w:val="0"/>
          <w:szCs w:val="20"/>
          <w:shd w:val="clear" w:color="auto" w:fill="FFFFFF"/>
        </w:rPr>
        <w:t>europaparksh@snu.ac.kr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(Wednesday 9:20am </w:t>
      </w:r>
      <w:r w:rsidRPr="00FC045E">
        <w:rPr>
          <w:rFonts w:ascii="굴림" w:eastAsia="맑은 고딕" w:hAnsi="Times New Roman" w:cs="굴림"/>
          <w:color w:val="000000"/>
          <w:kern w:val="0"/>
          <w:sz w:val="24"/>
          <w:szCs w:val="24"/>
          <w:shd w:val="clear" w:color="auto" w:fill="FFFFFF"/>
        </w:rPr>
        <w:t>–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12: 00am)</w:t>
      </w:r>
    </w:p>
    <w:p w:rsidR="00445B31" w:rsidRDefault="00445B31" w:rsidP="00FC045E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</w:pP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Cell phone: 010 8533 4344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Office: 140-2, room 303.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768" w:rsidRPr="00F25768" w:rsidRDefault="00F25768" w:rsidP="00F25768">
      <w:pPr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25768">
        <w:rPr>
          <w:rFonts w:ascii="Times New Roman" w:eastAsia="굴림" w:hAnsi="Times New Roman" w:cs="Times New Roman"/>
          <w:color w:val="000000"/>
          <w:kern w:val="0"/>
          <w:szCs w:val="20"/>
        </w:rPr>
        <w:t>(This course syllabus is a general plan for the course. Deviations announced to the class by the instructor may be necessary.)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Course description</w:t>
      </w:r>
    </w:p>
    <w:p w:rsidR="00445B31" w:rsidRDefault="00FC045E" w:rsidP="00445B31">
      <w:pPr>
        <w:shd w:val="clear" w:color="auto" w:fill="FFFFFF"/>
        <w:wordWrap/>
        <w:spacing w:after="0" w:line="240" w:lineRule="auto"/>
        <w:textAlignment w:val="baseline"/>
        <w:rPr>
          <w:rFonts w:ascii="Times New Roman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From the beginner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 level with comprehensive textbook to t</w:t>
      </w:r>
      <w:r w:rsidR="00445B31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he advanced level with academic</w:t>
      </w:r>
    </w:p>
    <w:p w:rsidR="00FC045E" w:rsidRPr="00FC045E" w:rsidRDefault="00FC045E" w:rsidP="00445B31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articles, this course examines various issues over the East Asia and European Union Relations. For this, the course begins with an overview of the evolution of European integration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history with a particular focus on</w:t>
      </w:r>
      <w:r w:rsidR="00F25768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the functioning of EU and on its International Actorness</w:t>
      </w:r>
      <w:r w:rsidR="00445B31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. It then looks at the relationship between the EU and Asia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(Korea, China, Japan, North Korea and ASEAN) </w:t>
      </w:r>
      <w:r w:rsidR="00445B31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by looking at their relations at the bilateral, inter-regional(ASEM), EU-ASEAN) an</w:t>
      </w:r>
      <w:r w:rsidR="007C12A8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d global levels. Comparati</w:t>
      </w:r>
      <w:r w:rsidR="00445B31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ve regional int</w:t>
      </w:r>
      <w:r w:rsidR="007C12A8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egration in EU and in East Asia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will also be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examined and discussed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at the latest part of our lecture.</w:t>
      </w:r>
    </w:p>
    <w:p w:rsidR="00FC045E" w:rsidRPr="00FC045E" w:rsidRDefault="00FC045E" w:rsidP="00FC045E">
      <w:pPr>
        <w:shd w:val="clear" w:color="auto" w:fill="FFFFFF"/>
        <w:tabs>
          <w:tab w:val="left" w:pos="710"/>
        </w:tabs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Course structure</w:t>
      </w:r>
    </w:p>
    <w:p w:rsidR="00FC045E" w:rsidRPr="00FC045E" w:rsidRDefault="00FC045E" w:rsidP="00FC045E">
      <w:pPr>
        <w:shd w:val="clear" w:color="auto" w:fill="FFFFFF"/>
        <w:tabs>
          <w:tab w:val="left" w:pos="710"/>
        </w:tabs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Besides the five four lectures which will be taught entirely by the instructor, the rest of the lecture will be consisted of three parts. </w:t>
      </w:r>
    </w:p>
    <w:p w:rsidR="00FC045E" w:rsidRPr="00FC045E" w:rsidRDefault="00FC045E" w:rsidP="00FC045E">
      <w:pPr>
        <w:numPr>
          <w:ilvl w:val="0"/>
          <w:numId w:val="1"/>
        </w:numPr>
        <w:shd w:val="clear" w:color="auto" w:fill="FFFFFF"/>
        <w:spacing w:after="0" w:line="240" w:lineRule="auto"/>
        <w:ind w:left="7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Instructor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 lecture</w:t>
      </w:r>
    </w:p>
    <w:p w:rsidR="00FC045E" w:rsidRPr="00FC045E" w:rsidRDefault="00FC045E" w:rsidP="00FC045E">
      <w:pPr>
        <w:numPr>
          <w:ilvl w:val="0"/>
          <w:numId w:val="1"/>
        </w:numPr>
        <w:shd w:val="clear" w:color="auto" w:fill="FFFFFF"/>
        <w:spacing w:after="0" w:line="240" w:lineRule="auto"/>
        <w:ind w:left="7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Presentation of student 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(one or more students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’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presentation starting from the fifth week)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045E" w:rsidRPr="00FC045E" w:rsidRDefault="00FC045E" w:rsidP="00FC045E">
      <w:pPr>
        <w:numPr>
          <w:ilvl w:val="0"/>
          <w:numId w:val="1"/>
        </w:numPr>
        <w:shd w:val="clear" w:color="auto" w:fill="FFFFFF"/>
        <w:spacing w:after="0" w:line="240" w:lineRule="auto"/>
        <w:ind w:left="7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Discussion </w:t>
      </w:r>
    </w:p>
    <w:p w:rsidR="00FC045E" w:rsidRPr="00FC045E" w:rsidRDefault="00FC045E" w:rsidP="007C12A8">
      <w:pPr>
        <w:shd w:val="clear" w:color="auto" w:fill="FFFFFF"/>
        <w:tabs>
          <w:tab w:val="left" w:pos="710"/>
        </w:tabs>
        <w:wordWrap/>
        <w:spacing w:after="0" w:line="240" w:lineRule="atLeas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Each lecture starts with the instructor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 lecture on the week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 topic. From the sixth week, there will be week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s subject presentation by the students(upon a given article), the class will have a general discussion of questions raised by the students or the instructor. </w:t>
      </w:r>
    </w:p>
    <w:p w:rsidR="00FC045E" w:rsidRPr="00FC045E" w:rsidRDefault="00FC045E" w:rsidP="007C12A8">
      <w:pPr>
        <w:shd w:val="clear" w:color="auto" w:fill="FFFFFF"/>
        <w:wordWrap/>
        <w:spacing w:after="0" w:line="24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7C12A8">
      <w:pPr>
        <w:shd w:val="clear" w:color="auto" w:fill="FFFFFF"/>
        <w:wordWrap/>
        <w:spacing w:after="0" w:line="24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Course requirements</w:t>
      </w:r>
    </w:p>
    <w:p w:rsidR="00FC045E" w:rsidRPr="00FC045E" w:rsidRDefault="00FC045E" w:rsidP="007C12A8">
      <w:pPr>
        <w:shd w:val="clear" w:color="auto" w:fill="FFFFFF"/>
        <w:wordWrap/>
        <w:spacing w:after="0" w:line="24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Students do not need to have a previous experience on EU studies course. Every student will give more than one presentation during the semester and expected to read the given articles.</w:t>
      </w:r>
    </w:p>
    <w:p w:rsidR="00FC045E" w:rsidRPr="00FC045E" w:rsidRDefault="00FC045E" w:rsidP="007C12A8">
      <w:pPr>
        <w:shd w:val="clear" w:color="auto" w:fill="FFFFFF"/>
        <w:wordWrap/>
        <w:spacing w:after="0" w:line="24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Evaluation criteria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Class attendance and engaging in the discussion will be worth 10 percent.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Presentations will count for 15 percent of grade.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Assignments will consist 25%.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Mid-Term Exam will consist 30 percent of grade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Final Exam(Open book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Test)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will consist 20 percent of grade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Presentation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15%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Attendance and class participation 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="006A7300"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10% 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Assignments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25%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Mid-Term Exam 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="006A7300"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30%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Final Exam (Open book)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20%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How to prepare a Weekly Presentation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(Starting from the fifth week)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Presentation is for 20-30 minutes and will contain</w:t>
      </w:r>
    </w:p>
    <w:p w:rsidR="00FC045E" w:rsidRPr="00FC045E" w:rsidRDefault="00FC045E" w:rsidP="00FC045E">
      <w:pPr>
        <w:numPr>
          <w:ilvl w:val="0"/>
          <w:numId w:val="2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Main arguments of the given article in detail </w:t>
      </w:r>
    </w:p>
    <w:p w:rsidR="00FC045E" w:rsidRPr="00FC045E" w:rsidRDefault="00FC045E" w:rsidP="00FC045E">
      <w:pPr>
        <w:numPr>
          <w:ilvl w:val="0"/>
          <w:numId w:val="3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Comments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Fellow Students will raise questions and comments assuming the discussant role.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How to prepare a Weekly Assignment</w:t>
      </w:r>
      <w:r w:rsidRPr="00FC045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Every student will prepare a 1 page assignment for the given article and will contain</w:t>
      </w:r>
    </w:p>
    <w:p w:rsidR="00FC045E" w:rsidRPr="00FC045E" w:rsidRDefault="00FC045E" w:rsidP="00FC045E">
      <w:pPr>
        <w:numPr>
          <w:ilvl w:val="0"/>
          <w:numId w:val="3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Main arguments of the given article</w:t>
      </w:r>
    </w:p>
    <w:p w:rsidR="00FC045E" w:rsidRPr="00FC045E" w:rsidRDefault="00FC045E" w:rsidP="00FC045E">
      <w:pPr>
        <w:numPr>
          <w:ilvl w:val="0"/>
          <w:numId w:val="4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Comments and questions including personal opinions and answer to such questions:</w:t>
      </w:r>
    </w:p>
    <w:p w:rsidR="00FC045E" w:rsidRPr="00FC045E" w:rsidRDefault="00FC045E" w:rsidP="00FC045E">
      <w:pPr>
        <w:numPr>
          <w:ilvl w:val="0"/>
          <w:numId w:val="4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What did you find interesting in this article?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</w:p>
    <w:p w:rsidR="00FC045E" w:rsidRPr="00FC045E" w:rsidRDefault="00FC045E" w:rsidP="00FC045E">
      <w:pPr>
        <w:numPr>
          <w:ilvl w:val="0"/>
          <w:numId w:val="5"/>
        </w:numPr>
        <w:shd w:val="clear" w:color="auto" w:fill="FFFFFF"/>
        <w:spacing w:after="0" w:line="240" w:lineRule="auto"/>
        <w:ind w:left="644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What are the convincing arguments and weak points that the author fails to show?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The Assignment must be uploaded to the ETL(before class) during each class starting from the fifth week.</w:t>
      </w:r>
      <w:r w:rsidRPr="00FC045E">
        <w:rPr>
          <w:rFonts w:ascii="맑은 고딕" w:eastAsia="맑은 고딕" w:hAnsi="맑은 고딕" w:cs="굴림" w:hint="eastAsia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i/>
          <w:iCs/>
          <w:color w:val="000000"/>
          <w:kern w:val="0"/>
          <w:sz w:val="24"/>
          <w:szCs w:val="24"/>
          <w:u w:val="single" w:color="000000"/>
          <w:shd w:val="clear" w:color="auto" w:fill="FFFFFF"/>
        </w:rPr>
        <w:t>Those who give presentation</w:t>
      </w:r>
      <w:r w:rsidRPr="00FC045E">
        <w:rPr>
          <w:rFonts w:ascii="맑은 고딕" w:eastAsia="맑은 고딕" w:hAnsi="맑은 고딕" w:cs="굴림" w:hint="eastAsia"/>
          <w:b/>
          <w:bCs/>
          <w:i/>
          <w:i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i/>
          <w:iCs/>
          <w:color w:val="000000"/>
          <w:kern w:val="0"/>
          <w:sz w:val="24"/>
          <w:szCs w:val="24"/>
          <w:u w:val="single" w:color="000000"/>
          <w:shd w:val="clear" w:color="auto" w:fill="FFFFFF"/>
        </w:rPr>
        <w:t>are dispensed from assignment for the corresponding week.</w:t>
      </w:r>
    </w:p>
    <w:p w:rsidR="00FC045E" w:rsidRPr="00FC045E" w:rsidRDefault="00FC045E" w:rsidP="00FC045E">
      <w:pPr>
        <w:shd w:val="clear" w:color="auto" w:fill="FFFFFF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Required Textbook for the Class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i/>
          <w:iCs/>
          <w:color w:val="000000"/>
          <w:kern w:val="0"/>
          <w:sz w:val="24"/>
          <w:szCs w:val="24"/>
          <w:shd w:val="clear" w:color="auto" w:fill="FFFFFF"/>
        </w:rPr>
        <w:t>Materials will be uploaded in the ETL.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Additional readings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Christiansen, Thomas, Emil Kirchner and Philomena B.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Murray (eds.), </w:t>
      </w:r>
      <w:r w:rsidRPr="00FC045E">
        <w:rPr>
          <w:rFonts w:ascii="Times New Roman" w:eastAsia="맑은 고딕" w:hAnsi="맑은 고딕" w:cs="굴림" w:hint="eastAsia"/>
          <w:i/>
          <w:iCs/>
          <w:color w:val="000000"/>
          <w:kern w:val="0"/>
          <w:sz w:val="24"/>
          <w:szCs w:val="24"/>
          <w:shd w:val="clear" w:color="auto" w:fill="FFFFFF"/>
        </w:rPr>
        <w:t>The Palgrave Handbook of EU-Asia Relations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(Palgrave Macmillan, 2013).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Thomas Diez, Nathalie Tocci, Giovanni Faleg and Eva Scherwitz, </w:t>
      </w:r>
      <w:r w:rsidRPr="00FC045E">
        <w:rPr>
          <w:rFonts w:ascii="Times New Roman" w:eastAsia="맑은 고딕" w:hAnsi="맑은 고딕" w:cs="굴림" w:hint="eastAsia"/>
          <w:i/>
          <w:iCs/>
          <w:color w:val="000000"/>
          <w:kern w:val="0"/>
          <w:sz w:val="24"/>
          <w:szCs w:val="24"/>
          <w:shd w:val="clear" w:color="auto" w:fill="FFFFFF"/>
        </w:rPr>
        <w:t>The EU, Promoting Regional Integration, and Conflict Resolution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(Palgrave Macmillan, 2017).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Michelle Cini, ed., European Union Politics (Oxford: Oxford University Press, 4th edition 2013).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Simon Hix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&amp; Bjorn Hoyland, </w:t>
      </w:r>
      <w:r w:rsidRPr="00FC045E">
        <w:rPr>
          <w:rFonts w:ascii="Times New Roman" w:eastAsia="맑은 고딕" w:hAnsi="맑은 고딕" w:cs="굴림" w:hint="eastAsia"/>
          <w:i/>
          <w:iCs/>
          <w:color w:val="000000"/>
          <w:kern w:val="0"/>
          <w:sz w:val="24"/>
          <w:szCs w:val="24"/>
          <w:shd w:val="clear" w:color="auto" w:fill="FFFFFF"/>
        </w:rPr>
        <w:t>Political System of the European Union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(Palgrave, Macmillan, 2011).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Useful Journals for EU Studies 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Journal of Common Market Studies (JCMS)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European Foreign Affairs Review (EFAR)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European Union Politics (EUP)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European Law Journal (ELJ)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West European Politics (WEP)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Journal of European Public Policy (JEPP)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Comparative European Politics (CEP)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Journal of European Integration (JoEl)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International Organization (IO)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C12A8" w:rsidRDefault="007C12A8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C12A8" w:rsidRDefault="007C12A8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C12A8" w:rsidRDefault="007C12A8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C12A8" w:rsidRDefault="007C12A8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C12A8" w:rsidRDefault="007C12A8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Course Schedule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9/5</w:t>
      </w:r>
      <w:r w:rsidRPr="00FC045E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Course Introduction</w:t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(Historical Background)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9/12</w:t>
      </w:r>
      <w:r w:rsidRPr="00FC045E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Major Treaties of European Union</w:t>
      </w:r>
      <w:r w:rsidR="00445B31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6A7300" w:rsidRPr="00F4690C" w:rsidRDefault="00FC045E" w:rsidP="006A7300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9/19</w:t>
      </w:r>
      <w:r w:rsidRPr="00FC045E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Evolution of EU Foreign</w:t>
      </w:r>
      <w:r w:rsidR="008E4E45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and Security</w:t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Policy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9/26 </w:t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No class (Chusok) 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F4690C" w:rsidRPr="00FC045E" w:rsidRDefault="00FC045E" w:rsidP="005515D4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10/3 </w:t>
      </w:r>
      <w:r w:rsidR="006A7300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5515D4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No Class(Hangul Day)</w:t>
      </w:r>
    </w:p>
    <w:p w:rsidR="006A7300" w:rsidRPr="006A7300" w:rsidRDefault="006A7300" w:rsidP="00F4690C">
      <w:pPr>
        <w:pStyle w:val="a3"/>
        <w:shd w:val="clear" w:color="auto" w:fill="FFFFFF"/>
        <w:spacing w:after="0" w:line="240" w:lineRule="auto"/>
        <w:ind w:leftChars="0" w:left="1440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5515D4" w:rsidRPr="00FC045E" w:rsidRDefault="00FC045E" w:rsidP="005515D4">
      <w:pPr>
        <w:shd w:val="clear" w:color="auto" w:fill="FFFFFF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10/10 </w:t>
      </w:r>
      <w:r w:rsidR="005515D4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515D4" w:rsidRPr="00F4690C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Institutional quartet of European Union</w:t>
      </w:r>
      <w:r w:rsidR="005515D4" w:rsidRPr="00FC045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5515D4" w:rsidRPr="00F4690C" w:rsidRDefault="005515D4" w:rsidP="005515D4">
      <w:pPr>
        <w:shd w:val="clear" w:color="auto" w:fill="FFFFFF"/>
        <w:spacing w:after="0" w:line="240" w:lineRule="auto"/>
        <w:ind w:leftChars="400" w:left="800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</w:pPr>
      <w:r w:rsidRPr="00F4690C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>Morten Egeberg(2008), “European Government(s): Executive Politics in Transition?” West European Politics, Vol.31, Nos.1-2, pp. 235-257</w:t>
      </w:r>
    </w:p>
    <w:p w:rsidR="005515D4" w:rsidRDefault="005515D4" w:rsidP="005515D4">
      <w:pPr>
        <w:shd w:val="clear" w:color="auto" w:fill="FFFFFF"/>
        <w:spacing w:after="0" w:line="240" w:lineRule="auto"/>
        <w:ind w:leftChars="400" w:left="800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  <w:shd w:val="clear" w:color="auto" w:fill="FFFFFF"/>
        </w:rPr>
      </w:pPr>
      <w:r w:rsidRPr="00FC045E">
        <w:rPr>
          <w:rFonts w:ascii="Times New Roman" w:eastAsia="맑은 고딕" w:hAnsi="Times New Roman" w:cs="Times New Roman"/>
          <w:color w:val="000000"/>
          <w:kern w:val="0"/>
          <w:sz w:val="22"/>
          <w:shd w:val="clear" w:color="auto" w:fill="FFFFFF"/>
        </w:rPr>
        <w:t xml:space="preserve">Berthold Rittberger (2003), “The Creation and Empowerment of the European Parliament,” </w:t>
      </w:r>
      <w:r w:rsidRPr="00FC045E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  <w:shd w:val="clear" w:color="auto" w:fill="FFFFFF"/>
        </w:rPr>
        <w:t>Journal of Common Market Studies,</w:t>
      </w:r>
      <w:r w:rsidRPr="00FC045E">
        <w:rPr>
          <w:rFonts w:ascii="Times New Roman" w:eastAsia="맑은 고딕" w:hAnsi="Times New Roman" w:cs="Times New Roman"/>
          <w:color w:val="000000"/>
          <w:kern w:val="0"/>
          <w:sz w:val="22"/>
          <w:shd w:val="clear" w:color="auto" w:fill="FFFFFF"/>
        </w:rPr>
        <w:t xml:space="preserve"> vol. 41, no. 2, pp.203-225.</w:t>
      </w:r>
    </w:p>
    <w:p w:rsidR="005515D4" w:rsidRPr="00FC045E" w:rsidRDefault="005515D4" w:rsidP="005515D4">
      <w:pPr>
        <w:shd w:val="clear" w:color="auto" w:fill="FFFFFF"/>
        <w:spacing w:after="0" w:line="240" w:lineRule="auto"/>
        <w:ind w:firstLineChars="350" w:firstLine="7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>(Submission of Assignment 1)</w:t>
      </w:r>
    </w:p>
    <w:p w:rsidR="005515D4" w:rsidRDefault="005515D4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C045E" w:rsidRDefault="005515D4" w:rsidP="007C12A8">
      <w:pPr>
        <w:shd w:val="clear" w:color="auto" w:fill="FFFFFF"/>
        <w:spacing w:after="0" w:line="240" w:lineRule="auto"/>
        <w:ind w:left="840" w:hangingChars="350" w:hanging="840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10/17  </w:t>
      </w:r>
      <w:r w:rsidR="006A730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EU as an International Actor: Market Power? Normative Power?</w:t>
      </w:r>
      <w:r w:rsidR="007C12A8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Foreign and Security Actor?</w:t>
      </w:r>
    </w:p>
    <w:p w:rsidR="007C12A8" w:rsidRPr="007C12A8" w:rsidRDefault="007C12A8" w:rsidP="005515D4">
      <w:pPr>
        <w:shd w:val="clear" w:color="auto" w:fill="FFFFFF"/>
        <w:spacing w:after="0" w:line="240" w:lineRule="auto"/>
        <w:ind w:leftChars="300" w:left="800" w:hangingChars="100" w:hanging="200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F4690C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7C12A8">
        <w:rPr>
          <w:rFonts w:ascii="Times New Roman" w:eastAsia="굴림" w:hAnsi="Times New Roman" w:cs="Times New Roman"/>
          <w:color w:val="000000"/>
          <w:kern w:val="0"/>
          <w:sz w:val="22"/>
        </w:rPr>
        <w:t>Pomorska, Karolina, and Sophie Vanhoonacker, ‘Europe as a Global Actor: The (Un)Holy Trinity of Economy, Diplomacy and Security’, Journal of Common Market Studies 53:S1 (2015), pp. 216-229</w:t>
      </w:r>
      <w:r w:rsidR="005515D4" w:rsidRPr="007C12A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</w:p>
    <w:p w:rsidR="00F4690C" w:rsidRPr="00FC045E" w:rsidRDefault="007C12A8" w:rsidP="005515D4">
      <w:pPr>
        <w:shd w:val="clear" w:color="auto" w:fill="FFFFFF"/>
        <w:spacing w:after="0" w:line="240" w:lineRule="auto"/>
        <w:ind w:firstLineChars="350" w:firstLine="7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 xml:space="preserve"> </w:t>
      </w:r>
      <w:r w:rsidR="00F4690C"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>(Submission of Assignment 2</w:t>
      </w:r>
      <w:r w:rsidR="00F4690C" w:rsidRPr="00FC045E"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>)</w:t>
      </w:r>
    </w:p>
    <w:p w:rsidR="00FC045E" w:rsidRPr="00FC045E" w:rsidRDefault="00FC045E" w:rsidP="00FC045E">
      <w:pPr>
        <w:shd w:val="clear" w:color="auto" w:fill="FFFFFF"/>
        <w:wordWrap/>
        <w:spacing w:after="0" w:line="240" w:lineRule="auto"/>
        <w:ind w:left="7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C12A8" w:rsidRDefault="005515D4" w:rsidP="00F4690C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10/24 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E4E45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EU </w:t>
      </w:r>
      <w:r w:rsidR="007C12A8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and Asia: inter-regional relations(ASEM)</w:t>
      </w:r>
    </w:p>
    <w:p w:rsidR="00FC045E" w:rsidRPr="007C12A8" w:rsidRDefault="007C12A8" w:rsidP="007C12A8">
      <w:pPr>
        <w:shd w:val="clear" w:color="auto" w:fill="FFFFFF"/>
        <w:spacing w:after="0" w:line="240" w:lineRule="auto"/>
        <w:ind w:left="720" w:hangingChars="300" w:hanging="7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</w:t>
      </w:r>
      <w:r w:rsidRPr="007C12A8">
        <w:rPr>
          <w:rFonts w:ascii="Times New Roman" w:eastAsia="맑은 고딕" w:hAnsi="맑은 고딕" w:cs="굴림"/>
          <w:bCs/>
          <w:color w:val="000000"/>
          <w:kern w:val="0"/>
          <w:sz w:val="22"/>
          <w:shd w:val="clear" w:color="auto" w:fill="FFFFFF"/>
        </w:rPr>
        <w:t xml:space="preserve">Christiansen, Thomas, and Shelly Tsui, </w:t>
      </w:r>
      <w:r w:rsidRPr="007C12A8">
        <w:rPr>
          <w:rFonts w:ascii="Times New Roman" w:eastAsia="맑은 고딕" w:hAnsi="맑은 고딕" w:cs="굴림"/>
          <w:bCs/>
          <w:color w:val="000000"/>
          <w:kern w:val="0"/>
          <w:sz w:val="22"/>
          <w:shd w:val="clear" w:color="auto" w:fill="FFFFFF"/>
        </w:rPr>
        <w:t>‘</w:t>
      </w:r>
      <w:r w:rsidRPr="007C12A8">
        <w:rPr>
          <w:rFonts w:ascii="Times New Roman" w:eastAsia="맑은 고딕" w:hAnsi="맑은 고딕" w:cs="굴림"/>
          <w:bCs/>
          <w:color w:val="000000"/>
          <w:kern w:val="0"/>
          <w:sz w:val="22"/>
          <w:shd w:val="clear" w:color="auto" w:fill="FFFFFF"/>
        </w:rPr>
        <w:t>The Value and the Limitations of Comprehensive Multilateralism: An EU Perspective on the Asia-Europe Meeting, European Foreign Affairs Review 22:2 (2017), pp. 233</w:t>
      </w:r>
      <w:r w:rsidRPr="007C12A8">
        <w:rPr>
          <w:rFonts w:ascii="Times New Roman" w:eastAsia="맑은 고딕" w:hAnsi="맑은 고딕" w:cs="굴림"/>
          <w:bCs/>
          <w:color w:val="000000"/>
          <w:kern w:val="0"/>
          <w:sz w:val="22"/>
          <w:shd w:val="clear" w:color="auto" w:fill="FFFFFF"/>
        </w:rPr>
        <w:t>–</w:t>
      </w:r>
      <w:r w:rsidRPr="007C12A8">
        <w:rPr>
          <w:rFonts w:ascii="Times New Roman" w:eastAsia="맑은 고딕" w:hAnsi="맑은 고딕" w:cs="굴림"/>
          <w:bCs/>
          <w:color w:val="000000"/>
          <w:kern w:val="0"/>
          <w:sz w:val="22"/>
          <w:shd w:val="clear" w:color="auto" w:fill="FFFFFF"/>
        </w:rPr>
        <w:t xml:space="preserve">252. </w:t>
      </w:r>
      <w:r w:rsidRPr="007C12A8">
        <w:rPr>
          <w:rFonts w:ascii="Times New Roman" w:eastAsia="맑은 고딕" w:hAnsi="맑은 고딕" w:cs="굴림" w:hint="eastAsia"/>
          <w:bCs/>
          <w:color w:val="000000"/>
          <w:kern w:val="0"/>
          <w:sz w:val="22"/>
          <w:shd w:val="clear" w:color="auto" w:fill="FFFFFF"/>
        </w:rPr>
        <w:t xml:space="preserve">  </w:t>
      </w:r>
    </w:p>
    <w:p w:rsidR="00FC045E" w:rsidRPr="00FC045E" w:rsidRDefault="00F4690C" w:rsidP="00FC045E">
      <w:pPr>
        <w:shd w:val="clear" w:color="auto" w:fill="FFFFFF"/>
        <w:spacing w:after="0" w:line="240" w:lineRule="auto"/>
        <w:ind w:firstLine="7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>(Submission of Assignment 3</w:t>
      </w:r>
      <w:r w:rsidR="00FC045E" w:rsidRPr="00FC045E">
        <w:rPr>
          <w:rFonts w:ascii="Times New Roman" w:eastAsia="맑은 고딕" w:hAnsi="맑은 고딕" w:cs="굴림" w:hint="eastAsia"/>
          <w:color w:val="000000"/>
          <w:kern w:val="0"/>
          <w:sz w:val="22"/>
          <w:u w:val="single" w:color="000000"/>
          <w:shd w:val="clear" w:color="auto" w:fill="FFFFFF"/>
        </w:rPr>
        <w:t>)</w:t>
      </w:r>
    </w:p>
    <w:p w:rsidR="00FC045E" w:rsidRPr="00FC045E" w:rsidRDefault="00FC045E" w:rsidP="00FC045E">
      <w:pPr>
        <w:shd w:val="clear" w:color="auto" w:fill="FFFFFF"/>
        <w:spacing w:after="0" w:line="240" w:lineRule="auto"/>
        <w:ind w:left="7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5515D4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10/31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007F0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Mid-Term Exam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7C12A8" w:rsidRDefault="005515D4" w:rsidP="00F4690C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7C12A8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11/7 </w:t>
      </w:r>
      <w:r w:rsidR="00FC045E" w:rsidRPr="007C12A8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007F0" w:rsidRPr="007C12A8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4690C" w:rsidRPr="007C12A8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EU relations with China</w:t>
      </w:r>
    </w:p>
    <w:p w:rsidR="00F4690C" w:rsidRPr="007C12A8" w:rsidRDefault="00F4690C" w:rsidP="007C12A8">
      <w:pPr>
        <w:shd w:val="clear" w:color="auto" w:fill="FFFFFF"/>
        <w:spacing w:after="0" w:line="240" w:lineRule="auto"/>
        <w:ind w:leftChars="350" w:left="700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7C12A8">
        <w:rPr>
          <w:rFonts w:ascii="Times New Roman" w:eastAsia="굴림" w:hAnsi="Times New Roman" w:cs="Times New Roman"/>
          <w:color w:val="000000"/>
          <w:kern w:val="0"/>
          <w:sz w:val="22"/>
        </w:rPr>
        <w:t>John Fox &amp; Francois Godement. “ Power Audit of EU-China Relations.” (London: European Council on Foreign Relations (ECFR), 2009.</w:t>
      </w:r>
    </w:p>
    <w:p w:rsidR="00F4690C" w:rsidRPr="007C12A8" w:rsidRDefault="00F4690C" w:rsidP="00164A97">
      <w:pPr>
        <w:shd w:val="clear" w:color="auto" w:fill="FFFFFF"/>
        <w:spacing w:after="0" w:line="240" w:lineRule="auto"/>
        <w:ind w:firstLineChars="350" w:firstLine="770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7C12A8">
        <w:rPr>
          <w:rFonts w:ascii="Times New Roman" w:eastAsia="굴림" w:hAnsi="Times New Roman" w:cs="Times New Roman"/>
          <w:color w:val="000000"/>
          <w:kern w:val="0"/>
          <w:sz w:val="22"/>
        </w:rPr>
        <w:t>EU-China and WTO: Market Economy Status</w:t>
      </w:r>
      <w:r w:rsidR="00164A97">
        <w:rPr>
          <w:rFonts w:ascii="Times New Roman" w:eastAsia="굴림" w:hAnsi="Times New Roman" w:cs="Times New Roman" w:hint="eastAsia"/>
          <w:color w:val="000000"/>
          <w:kern w:val="0"/>
          <w:sz w:val="22"/>
        </w:rPr>
        <w:t xml:space="preserve"> </w:t>
      </w:r>
    </w:p>
    <w:p w:rsidR="00FC045E" w:rsidRPr="00164A97" w:rsidRDefault="005515D4" w:rsidP="00164A97">
      <w:pPr>
        <w:shd w:val="clear" w:color="auto" w:fill="FFFFFF"/>
        <w:spacing w:after="0" w:line="240" w:lineRule="auto"/>
        <w:ind w:firstLineChars="350" w:firstLine="770"/>
        <w:textAlignment w:val="baseline"/>
        <w:rPr>
          <w:rFonts w:ascii="Times New Roman" w:eastAsia="맑은 고딕" w:hAnsi="맑은 고딕" w:cs="굴림"/>
          <w:bCs/>
          <w:iCs/>
          <w:color w:val="000000"/>
          <w:kern w:val="0"/>
          <w:sz w:val="22"/>
          <w:u w:val="single" w:color="000000"/>
          <w:shd w:val="clear" w:color="auto" w:fill="FFFFFF"/>
        </w:rPr>
      </w:pPr>
      <w:r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(Submission of Assignment 4</w:t>
      </w:r>
      <w:r w:rsidR="00FC045E"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)</w:t>
      </w:r>
    </w:p>
    <w:p w:rsidR="00C007F0" w:rsidRPr="00FC045E" w:rsidRDefault="00C007F0" w:rsidP="00FC045E">
      <w:pPr>
        <w:shd w:val="clear" w:color="auto" w:fill="FFFFFF"/>
        <w:spacing w:after="0" w:line="240" w:lineRule="auto"/>
        <w:ind w:firstLine="8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Default="005515D4" w:rsidP="00C007F0">
      <w:pPr>
        <w:shd w:val="clear" w:color="auto" w:fill="FFFFFF"/>
        <w:spacing w:after="160" w:line="256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11/14</w:t>
      </w:r>
      <w:r w:rsidR="00C007F0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C007F0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EU</w:t>
      </w:r>
      <w:r w:rsidR="00C007F0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relations with </w:t>
      </w:r>
      <w:r w:rsidR="00445B31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Korea</w:t>
      </w:r>
      <w:r w:rsidR="00FC045E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164A97" w:rsidRPr="00164A97" w:rsidRDefault="00164A97" w:rsidP="00164A97">
      <w:pPr>
        <w:ind w:leftChars="330" w:left="660"/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</w:pPr>
      <w:r w:rsidRPr="00164A97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 xml:space="preserve">Jang, Suyoun, and Jae-Jung Suh, ‘Development and Security in International Aid to North Korea: Commonalities and Differences among the European Union, the United States and South Korea’, The Pacific Review 30:5 (2017), pp. 729-749. • </w:t>
      </w:r>
    </w:p>
    <w:p w:rsidR="00164A97" w:rsidRPr="00164A97" w:rsidRDefault="00164A97" w:rsidP="00164A97">
      <w:pPr>
        <w:ind w:leftChars="330" w:left="660"/>
        <w:rPr>
          <w:rFonts w:ascii="굴림" w:eastAsia="굴림" w:hAnsi="굴림" w:cs="굴림"/>
          <w:color w:val="000000"/>
          <w:kern w:val="0"/>
          <w:szCs w:val="20"/>
        </w:rPr>
      </w:pPr>
      <w:r w:rsidRPr="00164A97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 xml:space="preserve">Lee, Moosung, ‘The EU, Regional Cooperation, and the North Korean Nuclear Crisis’, Asia Europe Journal 14:4 (2016), pp. 401-415. </w:t>
      </w:r>
    </w:p>
    <w:p w:rsidR="00FC045E" w:rsidRPr="00164A97" w:rsidRDefault="00F4690C" w:rsidP="00FC045E">
      <w:pPr>
        <w:shd w:val="clear" w:color="auto" w:fill="FFFFFF"/>
        <w:spacing w:after="0" w:line="240" w:lineRule="auto"/>
        <w:ind w:firstLine="6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 xml:space="preserve"> </w:t>
      </w:r>
      <w:r w:rsidR="00164A97"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(Submission of Assignment 5</w:t>
      </w:r>
      <w:r w:rsidR="00FC045E"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64A97" w:rsidRDefault="00164A97" w:rsidP="005515D4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</w:p>
    <w:p w:rsidR="005515D4" w:rsidRPr="00FC045E" w:rsidRDefault="00FC045E" w:rsidP="005515D4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11/21</w:t>
      </w:r>
      <w:r w:rsidRPr="00FC045E">
        <w:rPr>
          <w:rFonts w:ascii="굴림" w:eastAsia="굴림" w:hAnsi="굴림" w:cs="굴림"/>
          <w:color w:val="000000"/>
          <w:kern w:val="0"/>
          <w:szCs w:val="20"/>
        </w:rPr>
        <w:tab/>
      </w:r>
      <w:r w:rsidR="00C007F0">
        <w:rPr>
          <w:sz w:val="23"/>
          <w:szCs w:val="23"/>
        </w:rPr>
        <w:t xml:space="preserve"> </w:t>
      </w:r>
      <w:r w:rsidR="005515D4"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EU relations with </w:t>
      </w:r>
      <w:r w:rsidR="00445B31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Japan</w:t>
      </w:r>
    </w:p>
    <w:p w:rsidR="00433C64" w:rsidRDefault="00164A97" w:rsidP="00433C64">
      <w:pPr>
        <w:ind w:leftChars="330" w:left="660"/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</w:pPr>
      <w:r w:rsidRPr="00164A97">
        <w:rPr>
          <w:rFonts w:ascii="Times New Roman" w:hAnsi="Times New Roman" w:cs="Times New Roman"/>
          <w:color w:val="333333"/>
          <w:sz w:val="22"/>
        </w:rPr>
        <w:t>Higa</w:t>
      </w:r>
      <w:r>
        <w:rPr>
          <w:rFonts w:ascii="Times New Roman" w:hAnsi="Times New Roman" w:cs="Times New Roman" w:hint="eastAsia"/>
          <w:color w:val="333333"/>
          <w:sz w:val="22"/>
        </w:rPr>
        <w:t xml:space="preserve">shino Atsuko, </w:t>
      </w:r>
      <w:r>
        <w:rPr>
          <w:rFonts w:ascii="Times New Roman" w:hAnsi="Times New Roman" w:cs="Times New Roman"/>
          <w:color w:val="333333"/>
          <w:sz w:val="22"/>
        </w:rPr>
        <w:t>“</w:t>
      </w:r>
      <w:r>
        <w:rPr>
          <w:rFonts w:ascii="Times New Roman" w:hAnsi="Times New Roman" w:cs="Times New Roman" w:hint="eastAsia"/>
          <w:color w:val="333333"/>
          <w:sz w:val="22"/>
        </w:rPr>
        <w:t xml:space="preserve">A partnership postponed? </w:t>
      </w:r>
      <w:r w:rsidR="00433C64">
        <w:rPr>
          <w:rFonts w:ascii="Times New Roman" w:hAnsi="Times New Roman" w:cs="Times New Roman" w:hint="eastAsia"/>
          <w:color w:val="333333"/>
          <w:sz w:val="22"/>
        </w:rPr>
        <w:t>Japan-EU Cooperation in Conflict Resolution in East Asia,</w:t>
      </w:r>
      <w:r w:rsidR="00433C64">
        <w:rPr>
          <w:rFonts w:ascii="Times New Roman" w:hAnsi="Times New Roman" w:cs="Times New Roman"/>
          <w:color w:val="333333"/>
          <w:sz w:val="22"/>
        </w:rPr>
        <w:t>”</w:t>
      </w:r>
      <w:r w:rsidR="00433C64">
        <w:rPr>
          <w:rFonts w:ascii="Times New Roman" w:hAnsi="Times New Roman" w:cs="Times New Roman" w:hint="eastAsia"/>
          <w:color w:val="333333"/>
          <w:sz w:val="22"/>
        </w:rPr>
        <w:t xml:space="preserve"> </w:t>
      </w:r>
      <w:r w:rsidR="00433C64" w:rsidRPr="00164A97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>, Asia Eur</w:t>
      </w:r>
      <w:r w:rsidR="00433C64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>ope Journal 14:4 (2016), pp. 4</w:t>
      </w:r>
      <w:r w:rsidR="00433C64">
        <w:rPr>
          <w:rFonts w:ascii="Times New Roman" w:eastAsia="맑은 고딕" w:hAnsi="Times New Roman" w:cs="Times New Roman" w:hint="eastAsia"/>
          <w:bCs/>
          <w:color w:val="000000"/>
          <w:kern w:val="0"/>
          <w:sz w:val="22"/>
          <w:shd w:val="clear" w:color="auto" w:fill="FFFFFF"/>
        </w:rPr>
        <w:t>35</w:t>
      </w:r>
      <w:r w:rsidR="00433C64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>-4</w:t>
      </w:r>
      <w:r w:rsidR="00433C64">
        <w:rPr>
          <w:rFonts w:ascii="Times New Roman" w:eastAsia="맑은 고딕" w:hAnsi="Times New Roman" w:cs="Times New Roman" w:hint="eastAsia"/>
          <w:bCs/>
          <w:color w:val="000000"/>
          <w:kern w:val="0"/>
          <w:sz w:val="22"/>
          <w:shd w:val="clear" w:color="auto" w:fill="FFFFFF"/>
        </w:rPr>
        <w:t>47</w:t>
      </w:r>
      <w:r w:rsidR="00433C64" w:rsidRPr="00164A97">
        <w:rPr>
          <w:rFonts w:ascii="Times New Roman" w:eastAsia="맑은 고딕" w:hAnsi="Times New Roman" w:cs="Times New Roman"/>
          <w:bCs/>
          <w:color w:val="000000"/>
          <w:kern w:val="0"/>
          <w:sz w:val="22"/>
          <w:shd w:val="clear" w:color="auto" w:fill="FFFFFF"/>
        </w:rPr>
        <w:t xml:space="preserve">. </w:t>
      </w:r>
    </w:p>
    <w:p w:rsidR="005515D4" w:rsidRPr="00164A97" w:rsidRDefault="005515D4" w:rsidP="00433C64">
      <w:pPr>
        <w:ind w:leftChars="330" w:left="660"/>
        <w:rPr>
          <w:rFonts w:ascii="굴림" w:eastAsia="굴림" w:hAnsi="굴림" w:cs="굴림"/>
          <w:color w:val="000000"/>
          <w:kern w:val="0"/>
          <w:szCs w:val="20"/>
        </w:rPr>
      </w:pPr>
      <w:r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 xml:space="preserve">(Submission of Assignment </w:t>
      </w:r>
      <w:r w:rsidR="00164A97"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6</w:t>
      </w:r>
      <w:r w:rsidRPr="00164A97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shd w:val="clear" w:color="auto" w:fill="FFFFFF"/>
        </w:rPr>
        <w:t>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E4E45" w:rsidRDefault="00FC045E" w:rsidP="008E4E45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11/28</w:t>
      </w:r>
      <w:r w:rsidR="008E4E45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EU </w:t>
      </w:r>
      <w:r w:rsidR="005515D4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relations with ASEAN</w:t>
      </w:r>
    </w:p>
    <w:p w:rsidR="005515D4" w:rsidRPr="00433C64" w:rsidRDefault="00433C64" w:rsidP="00433C64">
      <w:pPr>
        <w:shd w:val="clear" w:color="auto" w:fill="FFFFFF"/>
        <w:spacing w:after="0" w:line="240" w:lineRule="auto"/>
        <w:ind w:leftChars="355" w:left="710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33C64">
        <w:rPr>
          <w:rFonts w:ascii="Times New Roman" w:hAnsi="Times New Roman" w:cs="Times New Roman"/>
          <w:sz w:val="22"/>
        </w:rPr>
        <w:t>J</w:t>
      </w:r>
      <w:hyperlink r:id="rId6" w:history="1">
        <w:r w:rsidRPr="00433C64">
          <w:rPr>
            <w:rStyle w:val="a4"/>
            <w:rFonts w:ascii="Times New Roman" w:hAnsi="Times New Roman" w:cs="Times New Roman"/>
            <w:bCs/>
            <w:color w:val="111111"/>
            <w:sz w:val="22"/>
            <w:u w:val="none"/>
            <w:bdr w:val="none" w:sz="0" w:space="0" w:color="auto" w:frame="1"/>
          </w:rPr>
          <w:t>ens-Uwe Wunderlich</w:t>
        </w:r>
      </w:hyperlink>
      <w:r w:rsidRPr="00433C64">
        <w:rPr>
          <w:rFonts w:ascii="Times New Roman" w:hAnsi="Times New Roman" w:cs="Times New Roman"/>
          <w:sz w:val="22"/>
        </w:rPr>
        <w:t xml:space="preserve">, </w:t>
      </w:r>
      <w:r w:rsidRPr="00433C64">
        <w:rPr>
          <w:rFonts w:ascii="Times New Roman" w:hAnsi="Times New Roman" w:cs="Times New Roman"/>
          <w:color w:val="111111"/>
          <w:sz w:val="22"/>
        </w:rPr>
        <w:t xml:space="preserve">The EU an Actor Sui Generis? A Comparison of EU and ASEAN Actorness, Journal of Common Market studies, </w:t>
      </w:r>
      <w:r w:rsidRPr="00433C64">
        <w:rPr>
          <w:rStyle w:val="publication-meta-journal"/>
          <w:rFonts w:ascii="Times New Roman" w:hAnsi="Times New Roman" w:cs="Times New Roman"/>
          <w:color w:val="555555"/>
          <w:sz w:val="22"/>
        </w:rPr>
        <w:t>50(4)</w:t>
      </w:r>
      <w:r w:rsidRPr="00433C64">
        <w:rPr>
          <w:rStyle w:val="publication-meta-date"/>
          <w:rFonts w:ascii="Times New Roman" w:hAnsi="Times New Roman" w:cs="Times New Roman"/>
          <w:color w:val="555555"/>
          <w:sz w:val="22"/>
        </w:rPr>
        <w:t> · July 2012</w:t>
      </w:r>
      <w:r>
        <w:rPr>
          <w:rStyle w:val="publication-meta-date"/>
          <w:rFonts w:ascii="Times New Roman" w:hAnsi="Times New Roman" w:cs="Times New Roman" w:hint="eastAsia"/>
          <w:color w:val="555555"/>
          <w:sz w:val="22"/>
        </w:rPr>
        <w:t>.</w:t>
      </w:r>
    </w:p>
    <w:p w:rsidR="005515D4" w:rsidRPr="005515D4" w:rsidRDefault="005515D4" w:rsidP="008E4E45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i/>
          <w:iCs/>
          <w:color w:val="000000"/>
          <w:kern w:val="0"/>
          <w:sz w:val="22"/>
          <w:u w:val="single" w:color="000000"/>
          <w:shd w:val="clear" w:color="auto" w:fill="FFFFFF"/>
        </w:rPr>
      </w:pPr>
    </w:p>
    <w:p w:rsidR="00FC045E" w:rsidRPr="00433C64" w:rsidRDefault="00FC045E" w:rsidP="00FC045E">
      <w:pPr>
        <w:shd w:val="clear" w:color="auto" w:fill="FFFFFF"/>
        <w:spacing w:after="0" w:line="240" w:lineRule="auto"/>
        <w:ind w:lef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33C64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(Submission of Assignment 7)</w:t>
      </w:r>
    </w:p>
    <w:p w:rsidR="00FC045E" w:rsidRPr="00FC045E" w:rsidRDefault="00FC045E" w:rsidP="00FC045E">
      <w:pPr>
        <w:shd w:val="clear" w:color="auto" w:fill="FFFFFF"/>
        <w:spacing w:after="0" w:line="240" w:lineRule="auto"/>
        <w:ind w:lef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045E" w:rsidRPr="00FC045E" w:rsidRDefault="00FC045E" w:rsidP="008E4E45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12/5</w:t>
      </w:r>
      <w:r w:rsidR="008E4E45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</w:t>
      </w:r>
      <w:r w:rsidR="008E4E45" w:rsidRPr="008E4E45">
        <w:rPr>
          <w:rFonts w:ascii="Times New Roman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  <w:t>Comparative perspective of Regional Integration of EU and Asia</w:t>
      </w:r>
    </w:p>
    <w:p w:rsidR="00231052" w:rsidRPr="00231052" w:rsidRDefault="00231052" w:rsidP="00231052">
      <w:pPr>
        <w:shd w:val="clear" w:color="auto" w:fill="FFFFFF"/>
        <w:spacing w:after="0" w:line="240" w:lineRule="auto"/>
        <w:ind w:leftChars="385" w:left="770"/>
        <w:textAlignment w:val="baseline"/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</w:pP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>Murray P. ‘East Asian Regionalism and EU St</w:t>
      </w:r>
      <w:r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 xml:space="preserve">udies’,  </w:t>
      </w:r>
      <w:r w:rsidRPr="00231052">
        <w:rPr>
          <w:rFonts w:ascii="Times New Roman" w:eastAsia="맑은 고딕" w:hAnsi="Times New Roman" w:cs="Times New Roman"/>
          <w:bCs/>
          <w:i/>
          <w:iCs/>
          <w:color w:val="000000"/>
          <w:kern w:val="0"/>
          <w:sz w:val="22"/>
          <w:shd w:val="clear" w:color="auto" w:fill="FFFFFF"/>
        </w:rPr>
        <w:t xml:space="preserve">Journal of European </w:t>
      </w:r>
      <w:r w:rsidRPr="00231052">
        <w:rPr>
          <w:rFonts w:ascii="Times New Roman" w:eastAsia="맑은 고딕" w:hAnsi="Times New Roman" w:cs="Times New Roman" w:hint="eastAsia"/>
          <w:bCs/>
          <w:i/>
          <w:iCs/>
          <w:color w:val="000000"/>
          <w:kern w:val="0"/>
          <w:sz w:val="22"/>
          <w:shd w:val="clear" w:color="auto" w:fill="FFFFFF"/>
        </w:rPr>
        <w:t xml:space="preserve"> </w:t>
      </w:r>
      <w:r w:rsidRPr="00231052">
        <w:rPr>
          <w:rFonts w:ascii="Times New Roman" w:eastAsia="맑은 고딕" w:hAnsi="Times New Roman" w:cs="Times New Roman"/>
          <w:bCs/>
          <w:i/>
          <w:iCs/>
          <w:color w:val="000000"/>
          <w:kern w:val="0"/>
          <w:sz w:val="22"/>
          <w:shd w:val="clear" w:color="auto" w:fill="FFFFFF"/>
        </w:rPr>
        <w:t>Integration</w:t>
      </w: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>, vol. 32, no. 6, 2010..</w:t>
      </w:r>
    </w:p>
    <w:p w:rsidR="00231052" w:rsidRPr="00231052" w:rsidRDefault="00231052" w:rsidP="00231052">
      <w:pPr>
        <w:shd w:val="clear" w:color="auto" w:fill="FFFFFF"/>
        <w:spacing w:after="0" w:line="240" w:lineRule="auto"/>
        <w:ind w:leftChars="385" w:left="770"/>
        <w:textAlignment w:val="baseline"/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</w:pP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>De Lombaerde, P., Söderbaum, F., Van Langenhove</w:t>
      </w:r>
      <w:r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 xml:space="preserve">, L. and Baert, F. (2010) ‘The </w:t>
      </w: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>Problem of Comparison</w:t>
      </w:r>
      <w:r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 xml:space="preserve"> in Comparative Regionalism’, </w:t>
      </w: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 xml:space="preserve"> </w:t>
      </w:r>
      <w:r w:rsidRPr="00231052">
        <w:rPr>
          <w:rFonts w:ascii="Times New Roman" w:eastAsia="맑은 고딕" w:hAnsi="Times New Roman" w:cs="Times New Roman"/>
          <w:bCs/>
          <w:i/>
          <w:iCs/>
          <w:color w:val="000000"/>
          <w:kern w:val="0"/>
          <w:sz w:val="22"/>
          <w:shd w:val="clear" w:color="auto" w:fill="FFFFFF"/>
        </w:rPr>
        <w:t>Review of International Studies</w:t>
      </w:r>
      <w:r w:rsidRPr="00231052">
        <w:rPr>
          <w:rFonts w:ascii="Times New Roman" w:eastAsia="맑은 고딕" w:hAnsi="Times New Roman" w:cs="Times New Roman"/>
          <w:bCs/>
          <w:iCs/>
          <w:color w:val="000000"/>
          <w:kern w:val="0"/>
          <w:sz w:val="22"/>
          <w:shd w:val="clear" w:color="auto" w:fill="FFFFFF"/>
        </w:rPr>
        <w:t>, vol. 36</w:t>
      </w:r>
      <w:r>
        <w:rPr>
          <w:rFonts w:ascii="Times New Roman" w:eastAsia="맑은 고딕" w:hAnsi="Times New Roman" w:cs="Times New Roman" w:hint="eastAsia"/>
          <w:bCs/>
          <w:iCs/>
          <w:color w:val="000000"/>
          <w:kern w:val="0"/>
          <w:sz w:val="22"/>
          <w:shd w:val="clear" w:color="auto" w:fill="FFFFFF"/>
        </w:rPr>
        <w:t>, 2010.</w:t>
      </w:r>
    </w:p>
    <w:p w:rsidR="00FC045E" w:rsidRPr="00433C64" w:rsidRDefault="00FC045E" w:rsidP="00FC045E">
      <w:pPr>
        <w:shd w:val="clear" w:color="auto" w:fill="FFFFFF"/>
        <w:spacing w:after="0" w:line="240" w:lineRule="auto"/>
        <w:ind w:firstLine="7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33C64">
        <w:rPr>
          <w:rFonts w:ascii="Times New Roman" w:eastAsia="맑은 고딕" w:hAnsi="맑은 고딕" w:cs="굴림" w:hint="eastAsia"/>
          <w:bCs/>
          <w:iCs/>
          <w:color w:val="000000"/>
          <w:kern w:val="0"/>
          <w:sz w:val="22"/>
          <w:u w:val="single" w:color="000000"/>
          <w:shd w:val="clear" w:color="auto" w:fill="FFFFFF"/>
        </w:rPr>
        <w:t>(Submission of Assignment 8 )</w:t>
      </w: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33C64" w:rsidRDefault="00433C64" w:rsidP="00FC045E">
      <w:pPr>
        <w:shd w:val="clear" w:color="auto" w:fill="FFFFFF"/>
        <w:spacing w:after="0" w:line="240" w:lineRule="auto"/>
        <w:textAlignment w:val="baseline"/>
        <w:rPr>
          <w:rFonts w:ascii="Times New Roman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</w:p>
    <w:p w:rsidR="00FC045E" w:rsidRPr="00FC045E" w:rsidRDefault="00FC045E" w:rsidP="00FC045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12/12</w:t>
      </w:r>
      <w:r w:rsidR="00433C64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FC045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FC045E">
        <w:rPr>
          <w:rFonts w:ascii="Times New Roman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Final Exam (Open Book)</w:t>
      </w:r>
    </w:p>
    <w:p w:rsidR="00FC045E" w:rsidRPr="00FC045E" w:rsidRDefault="00FC045E" w:rsidP="00FC045E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32E3C" w:rsidRDefault="00DD59DD"/>
    <w:p w:rsidR="008E4E45" w:rsidRPr="008E4E45" w:rsidRDefault="00433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**** Compensating Session</w:t>
      </w:r>
    </w:p>
    <w:p w:rsidR="008E4E45" w:rsidRDefault="008E4E45" w:rsidP="00433C64">
      <w:pPr>
        <w:pStyle w:val="Default"/>
        <w:ind w:leftChars="345" w:left="69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Visit to the Delegation of the European Union to the Republic of Korea &amp; Talk and Q&amp;A with Delegation senior staff </w:t>
      </w:r>
      <w:r>
        <w:rPr>
          <w:rFonts w:hint="eastAsia"/>
          <w:b/>
          <w:bCs/>
          <w:i/>
          <w:iCs/>
          <w:sz w:val="23"/>
          <w:szCs w:val="23"/>
        </w:rPr>
        <w:t>(date to be confirmed</w:t>
      </w:r>
      <w:r w:rsidR="005515D4">
        <w:rPr>
          <w:rFonts w:hint="eastAsia"/>
          <w:b/>
          <w:bCs/>
          <w:i/>
          <w:iCs/>
          <w:sz w:val="23"/>
          <w:szCs w:val="23"/>
        </w:rPr>
        <w:t xml:space="preserve"> other than Wednesday</w:t>
      </w:r>
      <w:r>
        <w:rPr>
          <w:rFonts w:hint="eastAsia"/>
          <w:b/>
          <w:bCs/>
          <w:i/>
          <w:iCs/>
          <w:sz w:val="23"/>
          <w:szCs w:val="23"/>
        </w:rPr>
        <w:t>)</w:t>
      </w:r>
    </w:p>
    <w:p w:rsidR="008E4E45" w:rsidRDefault="008E4E45" w:rsidP="008E4E45">
      <w:pPr>
        <w:pStyle w:val="Default"/>
        <w:ind w:leftChars="300" w:left="600"/>
        <w:rPr>
          <w:sz w:val="23"/>
          <w:szCs w:val="23"/>
        </w:rPr>
      </w:pPr>
      <w:r>
        <w:rPr>
          <w:sz w:val="23"/>
          <w:szCs w:val="23"/>
        </w:rPr>
        <w:t xml:space="preserve">• European External Action Service, </w:t>
      </w:r>
      <w:r>
        <w:rPr>
          <w:i/>
          <w:iCs/>
          <w:sz w:val="23"/>
          <w:szCs w:val="23"/>
        </w:rPr>
        <w:t>DPRK and the EU</w:t>
      </w:r>
      <w:r>
        <w:rPr>
          <w:sz w:val="23"/>
          <w:szCs w:val="23"/>
        </w:rPr>
        <w:t xml:space="preserve">, available at &lt;https://eeas.europa.eu/delegations/south-korea/4186/dprk-and-eu_en&gt; </w:t>
      </w:r>
    </w:p>
    <w:p w:rsidR="008E4E45" w:rsidRDefault="008E4E45" w:rsidP="008E4E45">
      <w:pPr>
        <w:pStyle w:val="Default"/>
        <w:ind w:leftChars="300" w:left="600"/>
        <w:rPr>
          <w:sz w:val="23"/>
          <w:szCs w:val="23"/>
        </w:rPr>
      </w:pPr>
      <w:r>
        <w:rPr>
          <w:sz w:val="23"/>
          <w:szCs w:val="23"/>
        </w:rPr>
        <w:t xml:space="preserve">• European External Action Service, </w:t>
      </w:r>
      <w:r>
        <w:rPr>
          <w:i/>
          <w:iCs/>
          <w:sz w:val="23"/>
          <w:szCs w:val="23"/>
        </w:rPr>
        <w:t>The Republic of Korea and the EU</w:t>
      </w:r>
      <w:r>
        <w:rPr>
          <w:sz w:val="23"/>
          <w:szCs w:val="23"/>
        </w:rPr>
        <w:t xml:space="preserve">, available at &lt;https://eeas.europa.eu/delegations/south-korea/8789/republic-korea-and-eu_en&gt; </w:t>
      </w:r>
    </w:p>
    <w:p w:rsidR="008E4E45" w:rsidRDefault="008E4E45" w:rsidP="008E4E45">
      <w:pPr>
        <w:pStyle w:val="Default"/>
        <w:ind w:leftChars="250" w:left="615" w:hangingChars="50" w:hanging="115"/>
        <w:rPr>
          <w:sz w:val="23"/>
          <w:szCs w:val="23"/>
        </w:rPr>
      </w:pPr>
      <w:r>
        <w:rPr>
          <w:sz w:val="23"/>
          <w:szCs w:val="23"/>
        </w:rPr>
        <w:t xml:space="preserve">• Ministry of Foreign Affairs of the Republic of Korea, </w:t>
      </w:r>
      <w:r>
        <w:rPr>
          <w:i/>
          <w:iCs/>
          <w:sz w:val="23"/>
          <w:szCs w:val="23"/>
        </w:rPr>
        <w:t>EU</w:t>
      </w:r>
      <w:r>
        <w:rPr>
          <w:sz w:val="23"/>
          <w:szCs w:val="23"/>
        </w:rPr>
        <w:t xml:space="preserve">, available at &lt;http://www.mofa.go.kr/eng/wpge/m_5457/contents.do&gt; </w:t>
      </w:r>
    </w:p>
    <w:p w:rsidR="008E4E45" w:rsidRPr="008E4E45" w:rsidRDefault="008E4E45"/>
    <w:sectPr w:rsidR="008E4E45" w:rsidRPr="008E4E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D6"/>
    <w:multiLevelType w:val="multilevel"/>
    <w:tmpl w:val="ECC84C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12FF9"/>
    <w:multiLevelType w:val="multilevel"/>
    <w:tmpl w:val="5A329AD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D73EE"/>
    <w:multiLevelType w:val="hybridMultilevel"/>
    <w:tmpl w:val="91864130"/>
    <w:lvl w:ilvl="0" w:tplc="27D47B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FCA84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2D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2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C7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86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06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1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EB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35C4D"/>
    <w:multiLevelType w:val="hybridMultilevel"/>
    <w:tmpl w:val="7F3CBA46"/>
    <w:lvl w:ilvl="0" w:tplc="C8563EC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2ACAE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A9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06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C0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C7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EB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7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365AB"/>
    <w:multiLevelType w:val="hybridMultilevel"/>
    <w:tmpl w:val="4C8C3032"/>
    <w:lvl w:ilvl="0" w:tplc="5822A4B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BE81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49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EE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CC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6A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49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86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E5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17917"/>
    <w:multiLevelType w:val="multilevel"/>
    <w:tmpl w:val="739468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Times New Roman" w:eastAsia="굴림" w:hAnsi="Times New Roman" w:cs="Times New Roman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25660"/>
    <w:multiLevelType w:val="hybridMultilevel"/>
    <w:tmpl w:val="D2AA5CF0"/>
    <w:lvl w:ilvl="0" w:tplc="DF70553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AA54F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E7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00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ED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0F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46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00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5E"/>
    <w:rsid w:val="00164A97"/>
    <w:rsid w:val="00231052"/>
    <w:rsid w:val="00433C64"/>
    <w:rsid w:val="00445B31"/>
    <w:rsid w:val="004F56D0"/>
    <w:rsid w:val="005515D4"/>
    <w:rsid w:val="006A7300"/>
    <w:rsid w:val="007C12A8"/>
    <w:rsid w:val="008E4E45"/>
    <w:rsid w:val="00AD498B"/>
    <w:rsid w:val="00C007F0"/>
    <w:rsid w:val="00DD59DD"/>
    <w:rsid w:val="00F25768"/>
    <w:rsid w:val="00F4690C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00"/>
    <w:pPr>
      <w:ind w:leftChars="400" w:left="800"/>
    </w:pPr>
  </w:style>
  <w:style w:type="paragraph" w:customStyle="1" w:styleId="Default">
    <w:name w:val="Default"/>
    <w:rsid w:val="00C007F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3C64"/>
    <w:rPr>
      <w:color w:val="0000FF"/>
      <w:u w:val="single"/>
    </w:rPr>
  </w:style>
  <w:style w:type="character" w:customStyle="1" w:styleId="publication-meta-journal">
    <w:name w:val="publication-meta-journal"/>
    <w:basedOn w:val="a0"/>
    <w:rsid w:val="00433C64"/>
  </w:style>
  <w:style w:type="character" w:customStyle="1" w:styleId="publication-meta-date">
    <w:name w:val="publication-meta-date"/>
    <w:basedOn w:val="a0"/>
    <w:rsid w:val="0043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00"/>
    <w:pPr>
      <w:ind w:leftChars="400" w:left="800"/>
    </w:pPr>
  </w:style>
  <w:style w:type="paragraph" w:customStyle="1" w:styleId="Default">
    <w:name w:val="Default"/>
    <w:rsid w:val="00C007F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3C64"/>
    <w:rPr>
      <w:color w:val="0000FF"/>
      <w:u w:val="single"/>
    </w:rPr>
  </w:style>
  <w:style w:type="character" w:customStyle="1" w:styleId="publication-meta-journal">
    <w:name w:val="publication-meta-journal"/>
    <w:basedOn w:val="a0"/>
    <w:rsid w:val="00433C64"/>
  </w:style>
  <w:style w:type="character" w:customStyle="1" w:styleId="publication-meta-date">
    <w:name w:val="publication-meta-date"/>
    <w:basedOn w:val="a0"/>
    <w:rsid w:val="0043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Jens-Uwe_Wunderl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sunhee park</dc:creator>
  <cp:lastModifiedBy>user</cp:lastModifiedBy>
  <cp:revision>5</cp:revision>
  <dcterms:created xsi:type="dcterms:W3CDTF">2018-07-17T07:57:00Z</dcterms:created>
  <dcterms:modified xsi:type="dcterms:W3CDTF">2018-07-17T22:59:00Z</dcterms:modified>
</cp:coreProperties>
</file>